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60" w:firstLineChars="50"/>
        <w:jc w:val="center"/>
        <w:rPr>
          <w:rFonts w:hint="eastAsia" w:ascii="仿宋" w:hAnsi="仿宋" w:eastAsia="仿宋" w:cs="仿宋"/>
          <w:b/>
          <w:color w:val="auto"/>
          <w:sz w:val="52"/>
          <w:szCs w:val="52"/>
          <w:highlight w:val="none"/>
        </w:rPr>
      </w:pPr>
    </w:p>
    <w:p>
      <w:pPr>
        <w:spacing w:line="360" w:lineRule="auto"/>
        <w:ind w:firstLine="260" w:firstLineChars="50"/>
        <w:jc w:val="center"/>
        <w:rPr>
          <w:rFonts w:hint="eastAsia" w:ascii="仿宋" w:hAnsi="仿宋" w:eastAsia="仿宋" w:cs="仿宋"/>
          <w:b/>
          <w:color w:val="auto"/>
          <w:sz w:val="52"/>
          <w:szCs w:val="52"/>
          <w:highlight w:val="none"/>
        </w:rPr>
      </w:pPr>
    </w:p>
    <w:p>
      <w:pPr>
        <w:spacing w:line="360" w:lineRule="auto"/>
        <w:ind w:firstLine="260" w:firstLineChars="50"/>
        <w:jc w:val="center"/>
        <w:rPr>
          <w:rFonts w:hint="eastAsia" w:ascii="仿宋" w:hAnsi="仿宋" w:eastAsia="仿宋" w:cs="仿宋"/>
          <w:b/>
          <w:color w:val="auto"/>
          <w:sz w:val="52"/>
          <w:szCs w:val="52"/>
          <w:highlight w:val="none"/>
        </w:rPr>
      </w:pPr>
    </w:p>
    <w:p>
      <w:pPr>
        <w:spacing w:line="360" w:lineRule="auto"/>
        <w:ind w:firstLine="260" w:firstLineChars="50"/>
        <w:jc w:val="center"/>
        <w:rPr>
          <w:rFonts w:hint="eastAsia" w:ascii="仿宋" w:hAnsi="仿宋" w:eastAsia="仿宋" w:cs="仿宋"/>
          <w:b/>
          <w:color w:val="auto"/>
          <w:sz w:val="52"/>
          <w:szCs w:val="52"/>
          <w:highlight w:val="none"/>
        </w:rPr>
      </w:pPr>
      <w:r>
        <w:rPr>
          <w:rFonts w:hint="eastAsia" w:ascii="仿宋" w:hAnsi="仿宋" w:eastAsia="仿宋" w:cs="仿宋"/>
          <w:b/>
          <w:color w:val="auto"/>
          <w:sz w:val="52"/>
          <w:szCs w:val="52"/>
          <w:highlight w:val="none"/>
        </w:rPr>
        <w:t>辽宁省政府采购项目</w:t>
      </w:r>
    </w:p>
    <w:p>
      <w:pPr>
        <w:spacing w:line="360" w:lineRule="auto"/>
        <w:ind w:firstLine="120" w:firstLineChars="50"/>
        <w:jc w:val="center"/>
        <w:rPr>
          <w:rFonts w:hint="eastAsia" w:ascii="仿宋" w:hAnsi="仿宋" w:eastAsia="仿宋" w:cs="仿宋"/>
          <w:b/>
          <w:color w:val="auto"/>
          <w:sz w:val="24"/>
          <w:highlight w:val="none"/>
        </w:rPr>
      </w:pPr>
    </w:p>
    <w:p>
      <w:pPr>
        <w:spacing w:line="360" w:lineRule="auto"/>
        <w:ind w:firstLine="240" w:firstLineChars="50"/>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货物类公开招标</w:t>
      </w:r>
    </w:p>
    <w:p>
      <w:pPr>
        <w:spacing w:line="360" w:lineRule="auto"/>
        <w:ind w:firstLine="120" w:firstLineChars="50"/>
        <w:jc w:val="center"/>
        <w:rPr>
          <w:rFonts w:hint="eastAsia" w:ascii="仿宋" w:hAnsi="仿宋" w:eastAsia="仿宋" w:cs="仿宋"/>
          <w:b/>
          <w:color w:val="auto"/>
          <w:sz w:val="24"/>
          <w:highlight w:val="none"/>
        </w:rPr>
      </w:pPr>
    </w:p>
    <w:p>
      <w:pPr>
        <w:spacing w:line="360" w:lineRule="auto"/>
        <w:ind w:firstLine="240" w:firstLineChars="50"/>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招标文件</w:t>
      </w:r>
    </w:p>
    <w:p>
      <w:pPr>
        <w:spacing w:line="480" w:lineRule="exact"/>
        <w:jc w:val="center"/>
        <w:rPr>
          <w:rFonts w:hint="eastAsia" w:ascii="仿宋" w:hAnsi="仿宋" w:eastAsia="仿宋" w:cs="仿宋"/>
          <w:b/>
          <w:color w:val="auto"/>
          <w:sz w:val="24"/>
          <w:highlight w:val="none"/>
        </w:rPr>
      </w:pPr>
    </w:p>
    <w:p>
      <w:pPr>
        <w:spacing w:line="480" w:lineRule="exact"/>
        <w:jc w:val="center"/>
        <w:rPr>
          <w:rFonts w:hint="eastAsia" w:ascii="仿宋" w:hAnsi="仿宋" w:eastAsia="仿宋" w:cs="仿宋"/>
          <w:b/>
          <w:color w:val="auto"/>
          <w:sz w:val="24"/>
          <w:highlight w:val="none"/>
        </w:rPr>
      </w:pPr>
    </w:p>
    <w:p>
      <w:pPr>
        <w:spacing w:line="480" w:lineRule="exact"/>
        <w:jc w:val="center"/>
        <w:rPr>
          <w:rFonts w:hint="eastAsia" w:ascii="仿宋" w:hAnsi="仿宋" w:eastAsia="仿宋" w:cs="仿宋"/>
          <w:b/>
          <w:color w:val="auto"/>
          <w:sz w:val="24"/>
          <w:highlight w:val="none"/>
        </w:rPr>
      </w:pPr>
    </w:p>
    <w:p>
      <w:pPr>
        <w:spacing w:line="480" w:lineRule="exact"/>
        <w:jc w:val="center"/>
        <w:rPr>
          <w:rFonts w:hint="eastAsia" w:ascii="仿宋" w:hAnsi="仿宋" w:eastAsia="仿宋" w:cs="仿宋"/>
          <w:b/>
          <w:color w:val="auto"/>
          <w:sz w:val="24"/>
          <w:highlight w:val="none"/>
        </w:rPr>
      </w:pPr>
    </w:p>
    <w:p>
      <w:pPr>
        <w:spacing w:line="480" w:lineRule="exact"/>
        <w:jc w:val="both"/>
        <w:rPr>
          <w:rFonts w:hint="eastAsia" w:ascii="仿宋" w:hAnsi="仿宋" w:eastAsia="仿宋" w:cs="仿宋"/>
          <w:b/>
          <w:color w:val="auto"/>
          <w:sz w:val="24"/>
          <w:highlight w:val="none"/>
        </w:rPr>
      </w:pPr>
    </w:p>
    <w:p>
      <w:pPr>
        <w:spacing w:line="480" w:lineRule="exact"/>
        <w:jc w:val="center"/>
        <w:rPr>
          <w:rFonts w:hint="eastAsia" w:ascii="仿宋" w:hAnsi="仿宋" w:eastAsia="仿宋" w:cs="仿宋"/>
          <w:b/>
          <w:color w:val="auto"/>
          <w:sz w:val="24"/>
          <w:highlight w:val="none"/>
        </w:rPr>
      </w:pPr>
    </w:p>
    <w:p>
      <w:pPr>
        <w:spacing w:line="480" w:lineRule="exact"/>
        <w:jc w:val="center"/>
        <w:rPr>
          <w:rFonts w:hint="eastAsia" w:ascii="仿宋" w:hAnsi="仿宋" w:eastAsia="仿宋" w:cs="仿宋"/>
          <w:b/>
          <w:color w:val="auto"/>
          <w:sz w:val="24"/>
          <w:highlight w:val="none"/>
        </w:rPr>
      </w:pPr>
    </w:p>
    <w:p>
      <w:pPr>
        <w:spacing w:line="360" w:lineRule="auto"/>
        <w:ind w:firstLine="846" w:firstLineChars="235"/>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6"/>
          <w:szCs w:val="36"/>
          <w:highlight w:val="none"/>
        </w:rPr>
        <w:t>项目名称：</w:t>
      </w:r>
      <w:r>
        <w:rPr>
          <w:rFonts w:hint="eastAsia" w:ascii="仿宋" w:hAnsi="仿宋" w:cs="仿宋"/>
          <w:b/>
          <w:color w:val="auto"/>
          <w:sz w:val="36"/>
          <w:szCs w:val="36"/>
          <w:highlight w:val="none"/>
          <w:lang w:eastAsia="zh-CN"/>
        </w:rPr>
        <w:t>2022年高标准农田建设项目土壤改良</w:t>
      </w:r>
    </w:p>
    <w:p>
      <w:pPr>
        <w:spacing w:line="360" w:lineRule="auto"/>
        <w:ind w:firstLine="846" w:firstLineChars="235"/>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项目编号：JH24-210381-00148 </w:t>
      </w:r>
    </w:p>
    <w:p>
      <w:pPr>
        <w:spacing w:line="360" w:lineRule="auto"/>
        <w:ind w:firstLine="846" w:firstLineChars="235"/>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编制单位：辽宁合建项目管理咨询有限公司 </w:t>
      </w:r>
    </w:p>
    <w:p>
      <w:pPr>
        <w:ind w:firstLine="846" w:firstLineChars="235"/>
        <w:jc w:val="center"/>
        <w:rPr>
          <w:rFonts w:hint="eastAsia" w:ascii="仿宋" w:hAnsi="仿宋" w:eastAsia="仿宋" w:cs="仿宋"/>
          <w:b/>
          <w:bCs/>
          <w:color w:val="auto"/>
          <w:sz w:val="36"/>
          <w:szCs w:val="44"/>
          <w:highlight w:val="none"/>
        </w:rPr>
        <w:sectPr>
          <w:pgSz w:w="11906" w:h="16838"/>
          <w:pgMar w:top="1440" w:right="1800" w:bottom="1440" w:left="1800" w:header="851" w:footer="992" w:gutter="0"/>
          <w:cols w:space="720" w:num="1"/>
          <w:docGrid w:type="linesAndChars" w:linePitch="312" w:charSpace="0"/>
        </w:sectPr>
      </w:pPr>
    </w:p>
    <w:p>
      <w:pPr>
        <w:jc w:val="center"/>
        <w:rPr>
          <w:rFonts w:hint="eastAsia"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目  录</w:t>
      </w:r>
    </w:p>
    <w:p>
      <w:pPr>
        <w:jc w:val="center"/>
        <w:rPr>
          <w:rFonts w:hint="eastAsia" w:ascii="仿宋" w:hAnsi="仿宋" w:eastAsia="仿宋" w:cs="仿宋"/>
          <w:b/>
          <w:bCs/>
          <w:color w:val="auto"/>
          <w:sz w:val="44"/>
          <w:szCs w:val="44"/>
          <w:highlight w:val="none"/>
        </w:rPr>
      </w:pPr>
    </w:p>
    <w:p>
      <w:pPr>
        <w:pStyle w:val="11"/>
        <w:tabs>
          <w:tab w:val="right" w:leader="dot" w:pos="8306"/>
        </w:tabs>
        <w:spacing w:line="48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fldChar w:fldCharType="begin"/>
      </w:r>
      <w:r>
        <w:rPr>
          <w:rFonts w:hint="eastAsia" w:ascii="仿宋" w:hAnsi="仿宋" w:eastAsia="仿宋" w:cs="仿宋"/>
          <w:b/>
          <w:bCs/>
          <w:color w:val="auto"/>
          <w:sz w:val="24"/>
          <w:highlight w:val="none"/>
        </w:rPr>
        <w:instrText xml:space="preserve">TOC \o "1-1" \h \u </w:instrText>
      </w:r>
      <w:r>
        <w:rPr>
          <w:rFonts w:hint="eastAsia" w:ascii="仿宋" w:hAnsi="仿宋" w:eastAsia="仿宋" w:cs="仿宋"/>
          <w:b/>
          <w:bCs/>
          <w:color w:val="auto"/>
          <w:sz w:val="24"/>
          <w:highlight w:val="none"/>
        </w:rPr>
        <w:fldChar w:fldCharType="separate"/>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"_Toc7381" </w:instrText>
      </w:r>
      <w:r>
        <w:rPr>
          <w:rFonts w:hint="eastAsia" w:ascii="仿宋" w:hAnsi="仿宋" w:eastAsia="仿宋" w:cs="仿宋"/>
          <w:color w:val="auto"/>
          <w:highlight w:val="none"/>
        </w:rPr>
        <w:fldChar w:fldCharType="separate"/>
      </w:r>
      <w:r>
        <w:rPr>
          <w:rFonts w:hint="eastAsia" w:ascii="仿宋" w:hAnsi="仿宋" w:eastAsia="仿宋" w:cs="仿宋"/>
          <w:b/>
          <w:bCs/>
          <w:color w:val="auto"/>
          <w:sz w:val="24"/>
          <w:highlight w:val="none"/>
        </w:rPr>
        <w:t>招标公告</w:t>
      </w:r>
      <w:r>
        <w:rPr>
          <w:rFonts w:hint="eastAsia" w:ascii="仿宋" w:hAnsi="仿宋" w:eastAsia="仿宋" w:cs="仿宋"/>
          <w:b/>
          <w:bCs/>
          <w:color w:val="auto"/>
          <w:sz w:val="24"/>
          <w:highlight w:val="none"/>
        </w:rPr>
        <w:tab/>
      </w:r>
      <w:r>
        <w:rPr>
          <w:rFonts w:hint="eastAsia" w:ascii="仿宋" w:hAnsi="仿宋" w:eastAsia="仿宋" w:cs="仿宋"/>
          <w:b/>
          <w:bCs/>
          <w:color w:val="auto"/>
          <w:sz w:val="24"/>
          <w:highlight w:val="none"/>
        </w:rPr>
        <w:fldChar w:fldCharType="begin"/>
      </w:r>
      <w:r>
        <w:rPr>
          <w:rFonts w:hint="eastAsia" w:ascii="仿宋" w:hAnsi="仿宋" w:eastAsia="仿宋" w:cs="仿宋"/>
          <w:b/>
          <w:bCs/>
          <w:color w:val="auto"/>
          <w:sz w:val="24"/>
          <w:highlight w:val="none"/>
        </w:rPr>
        <w:instrText xml:space="preserve"> PAGEREF _Toc7381 </w:instrText>
      </w:r>
      <w:r>
        <w:rPr>
          <w:rFonts w:hint="eastAsia" w:ascii="仿宋" w:hAnsi="仿宋" w:eastAsia="仿宋" w:cs="仿宋"/>
          <w:b/>
          <w:bCs/>
          <w:color w:val="auto"/>
          <w:sz w:val="24"/>
          <w:highlight w:val="none"/>
        </w:rPr>
        <w:fldChar w:fldCharType="separate"/>
      </w:r>
      <w:r>
        <w:rPr>
          <w:rFonts w:hint="eastAsia" w:ascii="仿宋" w:hAnsi="仿宋" w:eastAsia="仿宋" w:cs="仿宋"/>
          <w:b/>
          <w:bCs/>
          <w:color w:val="auto"/>
          <w:sz w:val="24"/>
          <w:highlight w:val="none"/>
        </w:rPr>
        <w:t>1</w:t>
      </w:r>
      <w:r>
        <w:rPr>
          <w:rFonts w:hint="eastAsia" w:ascii="仿宋" w:hAnsi="仿宋" w:eastAsia="仿宋" w:cs="仿宋"/>
          <w:b/>
          <w:bCs/>
          <w:color w:val="auto"/>
          <w:sz w:val="24"/>
          <w:highlight w:val="none"/>
        </w:rPr>
        <w:fldChar w:fldCharType="end"/>
      </w:r>
      <w:r>
        <w:rPr>
          <w:rFonts w:hint="eastAsia" w:ascii="仿宋" w:hAnsi="仿宋" w:eastAsia="仿宋" w:cs="仿宋"/>
          <w:b/>
          <w:bCs/>
          <w:color w:val="auto"/>
          <w:sz w:val="24"/>
          <w:highlight w:val="none"/>
        </w:rPr>
        <w:fldChar w:fldCharType="end"/>
      </w:r>
    </w:p>
    <w:p>
      <w:pPr>
        <w:pStyle w:val="11"/>
        <w:tabs>
          <w:tab w:val="right" w:leader="dot" w:pos="8306"/>
        </w:tabs>
        <w:spacing w:line="480" w:lineRule="auto"/>
        <w:rPr>
          <w:rFonts w:hint="eastAsia" w:ascii="仿宋" w:hAnsi="仿宋" w:eastAsia="仿宋" w:cs="仿宋"/>
          <w:b/>
          <w:bCs/>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"_Toc9614" </w:instrText>
      </w:r>
      <w:r>
        <w:rPr>
          <w:rFonts w:hint="eastAsia" w:ascii="仿宋" w:hAnsi="仿宋" w:eastAsia="仿宋" w:cs="仿宋"/>
          <w:color w:val="auto"/>
          <w:highlight w:val="none"/>
        </w:rPr>
        <w:fldChar w:fldCharType="separate"/>
      </w:r>
      <w:r>
        <w:rPr>
          <w:rFonts w:hint="eastAsia" w:ascii="仿宋" w:hAnsi="仿宋" w:eastAsia="仿宋" w:cs="仿宋"/>
          <w:b/>
          <w:bCs/>
          <w:color w:val="auto"/>
          <w:sz w:val="24"/>
          <w:highlight w:val="none"/>
        </w:rPr>
        <w:t>第一章 投标人须知</w:t>
      </w:r>
      <w:r>
        <w:rPr>
          <w:rFonts w:hint="eastAsia" w:ascii="仿宋" w:hAnsi="仿宋" w:eastAsia="仿宋" w:cs="仿宋"/>
          <w:b/>
          <w:bCs/>
          <w:color w:val="auto"/>
          <w:sz w:val="24"/>
          <w:highlight w:val="none"/>
        </w:rPr>
        <w:tab/>
      </w:r>
      <w:r>
        <w:rPr>
          <w:rFonts w:hint="eastAsia" w:ascii="仿宋" w:hAnsi="仿宋" w:eastAsia="仿宋" w:cs="仿宋"/>
          <w:b/>
          <w:bCs/>
          <w:color w:val="auto"/>
          <w:sz w:val="24"/>
          <w:highlight w:val="none"/>
        </w:rPr>
        <w:fldChar w:fldCharType="begin"/>
      </w:r>
      <w:r>
        <w:rPr>
          <w:rFonts w:hint="eastAsia" w:ascii="仿宋" w:hAnsi="仿宋" w:eastAsia="仿宋" w:cs="仿宋"/>
          <w:b/>
          <w:bCs/>
          <w:color w:val="auto"/>
          <w:sz w:val="24"/>
          <w:highlight w:val="none"/>
        </w:rPr>
        <w:instrText xml:space="preserve"> PAGEREF _Toc9614 </w:instrText>
      </w:r>
      <w:r>
        <w:rPr>
          <w:rFonts w:hint="eastAsia" w:ascii="仿宋" w:hAnsi="仿宋" w:eastAsia="仿宋" w:cs="仿宋"/>
          <w:b/>
          <w:bCs/>
          <w:color w:val="auto"/>
          <w:sz w:val="24"/>
          <w:highlight w:val="none"/>
        </w:rPr>
        <w:fldChar w:fldCharType="separate"/>
      </w:r>
      <w:r>
        <w:rPr>
          <w:rFonts w:hint="eastAsia" w:ascii="仿宋" w:hAnsi="仿宋" w:eastAsia="仿宋" w:cs="仿宋"/>
          <w:b/>
          <w:bCs/>
          <w:color w:val="auto"/>
          <w:sz w:val="24"/>
          <w:highlight w:val="none"/>
        </w:rPr>
        <w:t>5</w:t>
      </w:r>
      <w:r>
        <w:rPr>
          <w:rFonts w:hint="eastAsia" w:ascii="仿宋" w:hAnsi="仿宋" w:eastAsia="仿宋" w:cs="仿宋"/>
          <w:b/>
          <w:bCs/>
          <w:color w:val="auto"/>
          <w:sz w:val="24"/>
          <w:highlight w:val="none"/>
        </w:rPr>
        <w:fldChar w:fldCharType="end"/>
      </w:r>
      <w:r>
        <w:rPr>
          <w:rFonts w:hint="eastAsia" w:ascii="仿宋" w:hAnsi="仿宋" w:eastAsia="仿宋" w:cs="仿宋"/>
          <w:b/>
          <w:bCs/>
          <w:color w:val="auto"/>
          <w:sz w:val="24"/>
          <w:highlight w:val="none"/>
        </w:rPr>
        <w:fldChar w:fldCharType="end"/>
      </w:r>
    </w:p>
    <w:p>
      <w:pPr>
        <w:pStyle w:val="11"/>
        <w:tabs>
          <w:tab w:val="right" w:leader="dot" w:pos="8306"/>
        </w:tabs>
        <w:spacing w:line="480" w:lineRule="auto"/>
        <w:rPr>
          <w:rFonts w:hint="eastAsia" w:ascii="仿宋" w:hAnsi="仿宋" w:eastAsia="仿宋" w:cs="仿宋"/>
          <w:b/>
          <w:bCs/>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"_Toc6403" </w:instrText>
      </w:r>
      <w:r>
        <w:rPr>
          <w:rFonts w:hint="eastAsia" w:ascii="仿宋" w:hAnsi="仿宋" w:eastAsia="仿宋" w:cs="仿宋"/>
          <w:color w:val="auto"/>
          <w:highlight w:val="none"/>
        </w:rPr>
        <w:fldChar w:fldCharType="separate"/>
      </w:r>
      <w:r>
        <w:rPr>
          <w:rFonts w:hint="eastAsia" w:ascii="仿宋" w:hAnsi="仿宋" w:eastAsia="仿宋" w:cs="仿宋"/>
          <w:b/>
          <w:bCs/>
          <w:color w:val="auto"/>
          <w:sz w:val="24"/>
          <w:highlight w:val="none"/>
        </w:rPr>
        <w:t>第二章 投标文件内容及格式</w:t>
      </w:r>
      <w:r>
        <w:rPr>
          <w:rFonts w:hint="eastAsia" w:ascii="仿宋" w:hAnsi="仿宋" w:eastAsia="仿宋" w:cs="仿宋"/>
          <w:b/>
          <w:bCs/>
          <w:color w:val="auto"/>
          <w:sz w:val="24"/>
          <w:highlight w:val="none"/>
        </w:rPr>
        <w:tab/>
      </w:r>
      <w:r>
        <w:rPr>
          <w:rFonts w:hint="eastAsia" w:ascii="仿宋" w:hAnsi="仿宋" w:eastAsia="仿宋" w:cs="仿宋"/>
          <w:b/>
          <w:bCs/>
          <w:color w:val="auto"/>
          <w:sz w:val="24"/>
          <w:highlight w:val="none"/>
        </w:rPr>
        <w:fldChar w:fldCharType="begin"/>
      </w:r>
      <w:r>
        <w:rPr>
          <w:rFonts w:hint="eastAsia" w:ascii="仿宋" w:hAnsi="仿宋" w:eastAsia="仿宋" w:cs="仿宋"/>
          <w:b/>
          <w:bCs/>
          <w:color w:val="auto"/>
          <w:sz w:val="24"/>
          <w:highlight w:val="none"/>
        </w:rPr>
        <w:instrText xml:space="preserve"> PAGEREF _Toc6403 </w:instrText>
      </w:r>
      <w:r>
        <w:rPr>
          <w:rFonts w:hint="eastAsia" w:ascii="仿宋" w:hAnsi="仿宋" w:eastAsia="仿宋" w:cs="仿宋"/>
          <w:b/>
          <w:bCs/>
          <w:color w:val="auto"/>
          <w:sz w:val="24"/>
          <w:highlight w:val="none"/>
        </w:rPr>
        <w:fldChar w:fldCharType="separate"/>
      </w:r>
      <w:r>
        <w:rPr>
          <w:rFonts w:hint="eastAsia" w:ascii="仿宋" w:hAnsi="仿宋" w:eastAsia="仿宋" w:cs="仿宋"/>
          <w:b/>
          <w:bCs/>
          <w:color w:val="auto"/>
          <w:sz w:val="24"/>
          <w:highlight w:val="none"/>
        </w:rPr>
        <w:t>23</w:t>
      </w:r>
      <w:r>
        <w:rPr>
          <w:rFonts w:hint="eastAsia" w:ascii="仿宋" w:hAnsi="仿宋" w:eastAsia="仿宋" w:cs="仿宋"/>
          <w:b/>
          <w:bCs/>
          <w:color w:val="auto"/>
          <w:sz w:val="24"/>
          <w:highlight w:val="none"/>
        </w:rPr>
        <w:fldChar w:fldCharType="end"/>
      </w:r>
      <w:r>
        <w:rPr>
          <w:rFonts w:hint="eastAsia" w:ascii="仿宋" w:hAnsi="仿宋" w:eastAsia="仿宋" w:cs="仿宋"/>
          <w:b/>
          <w:bCs/>
          <w:color w:val="auto"/>
          <w:sz w:val="24"/>
          <w:highlight w:val="none"/>
        </w:rPr>
        <w:fldChar w:fldCharType="end"/>
      </w:r>
    </w:p>
    <w:p>
      <w:pPr>
        <w:pStyle w:val="11"/>
        <w:tabs>
          <w:tab w:val="right" w:leader="dot" w:pos="8306"/>
        </w:tabs>
        <w:spacing w:line="480" w:lineRule="auto"/>
        <w:rPr>
          <w:rFonts w:hint="eastAsia" w:ascii="仿宋" w:hAnsi="仿宋" w:eastAsia="仿宋" w:cs="仿宋"/>
          <w:b/>
          <w:bCs/>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"_Toc17590" </w:instrText>
      </w:r>
      <w:r>
        <w:rPr>
          <w:rFonts w:hint="eastAsia" w:ascii="仿宋" w:hAnsi="仿宋" w:eastAsia="仿宋" w:cs="仿宋"/>
          <w:color w:val="auto"/>
          <w:highlight w:val="none"/>
        </w:rPr>
        <w:fldChar w:fldCharType="separate"/>
      </w:r>
      <w:r>
        <w:rPr>
          <w:rFonts w:hint="eastAsia" w:ascii="仿宋" w:hAnsi="仿宋" w:eastAsia="仿宋" w:cs="仿宋"/>
          <w:b/>
          <w:bCs/>
          <w:color w:val="auto"/>
          <w:sz w:val="24"/>
          <w:highlight w:val="none"/>
        </w:rPr>
        <w:t>第三章 货物需求</w:t>
      </w:r>
      <w:r>
        <w:rPr>
          <w:rFonts w:hint="eastAsia" w:ascii="仿宋" w:hAnsi="仿宋" w:eastAsia="仿宋" w:cs="仿宋"/>
          <w:b/>
          <w:bCs/>
          <w:color w:val="auto"/>
          <w:sz w:val="24"/>
          <w:highlight w:val="none"/>
        </w:rPr>
        <w:tab/>
      </w:r>
      <w:r>
        <w:rPr>
          <w:rFonts w:hint="eastAsia" w:ascii="仿宋" w:hAnsi="仿宋" w:eastAsia="仿宋" w:cs="仿宋"/>
          <w:b/>
          <w:bCs/>
          <w:color w:val="auto"/>
          <w:sz w:val="24"/>
          <w:highlight w:val="none"/>
        </w:rPr>
        <w:fldChar w:fldCharType="begin"/>
      </w:r>
      <w:r>
        <w:rPr>
          <w:rFonts w:hint="eastAsia" w:ascii="仿宋" w:hAnsi="仿宋" w:eastAsia="仿宋" w:cs="仿宋"/>
          <w:b/>
          <w:bCs/>
          <w:color w:val="auto"/>
          <w:sz w:val="24"/>
          <w:highlight w:val="none"/>
        </w:rPr>
        <w:instrText xml:space="preserve"> PAGEREF _Toc17590 </w:instrText>
      </w:r>
      <w:r>
        <w:rPr>
          <w:rFonts w:hint="eastAsia" w:ascii="仿宋" w:hAnsi="仿宋" w:eastAsia="仿宋" w:cs="仿宋"/>
          <w:b/>
          <w:bCs/>
          <w:color w:val="auto"/>
          <w:sz w:val="24"/>
          <w:highlight w:val="none"/>
        </w:rPr>
        <w:fldChar w:fldCharType="separate"/>
      </w:r>
      <w:r>
        <w:rPr>
          <w:rFonts w:hint="eastAsia" w:ascii="仿宋" w:hAnsi="仿宋" w:eastAsia="仿宋" w:cs="仿宋"/>
          <w:b/>
          <w:bCs/>
          <w:color w:val="auto"/>
          <w:sz w:val="24"/>
          <w:highlight w:val="none"/>
        </w:rPr>
        <w:t>59</w:t>
      </w:r>
      <w:r>
        <w:rPr>
          <w:rFonts w:hint="eastAsia" w:ascii="仿宋" w:hAnsi="仿宋" w:eastAsia="仿宋" w:cs="仿宋"/>
          <w:b/>
          <w:bCs/>
          <w:color w:val="auto"/>
          <w:sz w:val="24"/>
          <w:highlight w:val="none"/>
        </w:rPr>
        <w:fldChar w:fldCharType="end"/>
      </w:r>
      <w:r>
        <w:rPr>
          <w:rFonts w:hint="eastAsia" w:ascii="仿宋" w:hAnsi="仿宋" w:eastAsia="仿宋" w:cs="仿宋"/>
          <w:b/>
          <w:bCs/>
          <w:color w:val="auto"/>
          <w:sz w:val="24"/>
          <w:highlight w:val="none"/>
        </w:rPr>
        <w:fldChar w:fldCharType="end"/>
      </w:r>
    </w:p>
    <w:p>
      <w:pPr>
        <w:pStyle w:val="11"/>
        <w:tabs>
          <w:tab w:val="right" w:leader="dot" w:pos="8306"/>
        </w:tabs>
        <w:spacing w:line="480" w:lineRule="auto"/>
        <w:rPr>
          <w:rFonts w:hint="eastAsia" w:ascii="仿宋" w:hAnsi="仿宋" w:eastAsia="仿宋" w:cs="仿宋"/>
          <w:b/>
          <w:bCs/>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"_Toc25237" </w:instrText>
      </w:r>
      <w:r>
        <w:rPr>
          <w:rFonts w:hint="eastAsia" w:ascii="仿宋" w:hAnsi="仿宋" w:eastAsia="仿宋" w:cs="仿宋"/>
          <w:color w:val="auto"/>
          <w:highlight w:val="none"/>
        </w:rPr>
        <w:fldChar w:fldCharType="separate"/>
      </w:r>
      <w:r>
        <w:rPr>
          <w:rFonts w:hint="eastAsia" w:ascii="仿宋" w:hAnsi="仿宋" w:eastAsia="仿宋" w:cs="仿宋"/>
          <w:b/>
          <w:bCs/>
          <w:color w:val="auto"/>
          <w:sz w:val="24"/>
          <w:highlight w:val="none"/>
        </w:rPr>
        <w:t>第四章 评标方法</w:t>
      </w:r>
      <w:r>
        <w:rPr>
          <w:rFonts w:hint="eastAsia" w:ascii="仿宋" w:hAnsi="仿宋" w:eastAsia="仿宋" w:cs="仿宋"/>
          <w:b/>
          <w:bCs/>
          <w:color w:val="auto"/>
          <w:sz w:val="24"/>
          <w:highlight w:val="none"/>
        </w:rPr>
        <w:tab/>
      </w:r>
      <w:r>
        <w:rPr>
          <w:rFonts w:hint="eastAsia" w:ascii="仿宋" w:hAnsi="仿宋" w:eastAsia="仿宋" w:cs="仿宋"/>
          <w:b/>
          <w:bCs/>
          <w:color w:val="auto"/>
          <w:sz w:val="24"/>
          <w:highlight w:val="none"/>
        </w:rPr>
        <w:fldChar w:fldCharType="begin"/>
      </w:r>
      <w:r>
        <w:rPr>
          <w:rFonts w:hint="eastAsia" w:ascii="仿宋" w:hAnsi="仿宋" w:eastAsia="仿宋" w:cs="仿宋"/>
          <w:b/>
          <w:bCs/>
          <w:color w:val="auto"/>
          <w:sz w:val="24"/>
          <w:highlight w:val="none"/>
        </w:rPr>
        <w:instrText xml:space="preserve"> PAGEREF _Toc25237 </w:instrText>
      </w:r>
      <w:r>
        <w:rPr>
          <w:rFonts w:hint="eastAsia" w:ascii="仿宋" w:hAnsi="仿宋" w:eastAsia="仿宋" w:cs="仿宋"/>
          <w:b/>
          <w:bCs/>
          <w:color w:val="auto"/>
          <w:sz w:val="24"/>
          <w:highlight w:val="none"/>
        </w:rPr>
        <w:fldChar w:fldCharType="separate"/>
      </w:r>
      <w:r>
        <w:rPr>
          <w:rFonts w:hint="eastAsia" w:ascii="仿宋" w:hAnsi="仿宋" w:eastAsia="仿宋" w:cs="仿宋"/>
          <w:b/>
          <w:bCs/>
          <w:color w:val="auto"/>
          <w:sz w:val="24"/>
          <w:highlight w:val="none"/>
        </w:rPr>
        <w:t>67</w:t>
      </w:r>
      <w:r>
        <w:rPr>
          <w:rFonts w:hint="eastAsia" w:ascii="仿宋" w:hAnsi="仿宋" w:eastAsia="仿宋" w:cs="仿宋"/>
          <w:b/>
          <w:bCs/>
          <w:color w:val="auto"/>
          <w:sz w:val="24"/>
          <w:highlight w:val="none"/>
        </w:rPr>
        <w:fldChar w:fldCharType="end"/>
      </w:r>
      <w:r>
        <w:rPr>
          <w:rFonts w:hint="eastAsia" w:ascii="仿宋" w:hAnsi="仿宋" w:eastAsia="仿宋" w:cs="仿宋"/>
          <w:b/>
          <w:bCs/>
          <w:color w:val="auto"/>
          <w:sz w:val="24"/>
          <w:highlight w:val="none"/>
        </w:rPr>
        <w:fldChar w:fldCharType="end"/>
      </w:r>
    </w:p>
    <w:p>
      <w:pPr>
        <w:pStyle w:val="11"/>
        <w:tabs>
          <w:tab w:val="right" w:leader="dot" w:pos="8306"/>
        </w:tabs>
        <w:spacing w:line="480" w:lineRule="auto"/>
        <w:rPr>
          <w:rFonts w:hint="eastAsia" w:ascii="仿宋" w:hAnsi="仿宋" w:eastAsia="仿宋" w:cs="仿宋"/>
          <w:b/>
          <w:bCs/>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"_Toc19588" </w:instrText>
      </w:r>
      <w:r>
        <w:rPr>
          <w:rFonts w:hint="eastAsia" w:ascii="仿宋" w:hAnsi="仿宋" w:eastAsia="仿宋" w:cs="仿宋"/>
          <w:color w:val="auto"/>
          <w:highlight w:val="none"/>
        </w:rPr>
        <w:fldChar w:fldCharType="separate"/>
      </w:r>
      <w:r>
        <w:rPr>
          <w:rFonts w:hint="eastAsia" w:ascii="仿宋" w:hAnsi="仿宋" w:eastAsia="仿宋" w:cs="仿宋"/>
          <w:b/>
          <w:bCs/>
          <w:color w:val="auto"/>
          <w:sz w:val="24"/>
          <w:highlight w:val="none"/>
        </w:rPr>
        <w:t>第五章 政府采购合同条款及格式</w:t>
      </w:r>
      <w:r>
        <w:rPr>
          <w:rFonts w:hint="eastAsia" w:ascii="仿宋" w:hAnsi="仿宋" w:eastAsia="仿宋" w:cs="仿宋"/>
          <w:b/>
          <w:bCs/>
          <w:color w:val="auto"/>
          <w:sz w:val="24"/>
          <w:highlight w:val="none"/>
        </w:rPr>
        <w:tab/>
      </w:r>
      <w:r>
        <w:rPr>
          <w:rFonts w:hint="eastAsia" w:ascii="仿宋" w:hAnsi="仿宋" w:eastAsia="仿宋" w:cs="仿宋"/>
          <w:b/>
          <w:bCs/>
          <w:color w:val="auto"/>
          <w:sz w:val="24"/>
          <w:highlight w:val="none"/>
        </w:rPr>
        <w:fldChar w:fldCharType="begin"/>
      </w:r>
      <w:r>
        <w:rPr>
          <w:rFonts w:hint="eastAsia" w:ascii="仿宋" w:hAnsi="仿宋" w:eastAsia="仿宋" w:cs="仿宋"/>
          <w:b/>
          <w:bCs/>
          <w:color w:val="auto"/>
          <w:sz w:val="24"/>
          <w:highlight w:val="none"/>
        </w:rPr>
        <w:instrText xml:space="preserve"> PAGEREF _Toc19588 </w:instrText>
      </w:r>
      <w:r>
        <w:rPr>
          <w:rFonts w:hint="eastAsia" w:ascii="仿宋" w:hAnsi="仿宋" w:eastAsia="仿宋" w:cs="仿宋"/>
          <w:b/>
          <w:bCs/>
          <w:color w:val="auto"/>
          <w:sz w:val="24"/>
          <w:highlight w:val="none"/>
        </w:rPr>
        <w:fldChar w:fldCharType="separate"/>
      </w:r>
      <w:r>
        <w:rPr>
          <w:rFonts w:hint="eastAsia" w:ascii="仿宋" w:hAnsi="仿宋" w:eastAsia="仿宋" w:cs="仿宋"/>
          <w:b/>
          <w:bCs/>
          <w:color w:val="auto"/>
          <w:sz w:val="24"/>
          <w:highlight w:val="none"/>
        </w:rPr>
        <w:t>76</w:t>
      </w:r>
      <w:r>
        <w:rPr>
          <w:rFonts w:hint="eastAsia" w:ascii="仿宋" w:hAnsi="仿宋" w:eastAsia="仿宋" w:cs="仿宋"/>
          <w:b/>
          <w:bCs/>
          <w:color w:val="auto"/>
          <w:sz w:val="24"/>
          <w:highlight w:val="none"/>
        </w:rPr>
        <w:fldChar w:fldCharType="end"/>
      </w:r>
      <w:r>
        <w:rPr>
          <w:rFonts w:hint="eastAsia" w:ascii="仿宋" w:hAnsi="仿宋" w:eastAsia="仿宋" w:cs="仿宋"/>
          <w:b/>
          <w:bCs/>
          <w:color w:val="auto"/>
          <w:sz w:val="24"/>
          <w:highlight w:val="none"/>
        </w:rPr>
        <w:fldChar w:fldCharType="end"/>
      </w:r>
    </w:p>
    <w:p>
      <w:pPr>
        <w:spacing w:line="480" w:lineRule="auto"/>
        <w:rPr>
          <w:rFonts w:hint="eastAsia" w:ascii="仿宋" w:hAnsi="仿宋" w:eastAsia="仿宋" w:cs="仿宋"/>
          <w:color w:val="auto"/>
          <w:highlight w:val="none"/>
        </w:rPr>
      </w:pPr>
      <w:r>
        <w:rPr>
          <w:rFonts w:hint="eastAsia" w:ascii="仿宋" w:hAnsi="仿宋" w:eastAsia="仿宋" w:cs="仿宋"/>
          <w:b/>
          <w:bCs/>
          <w:color w:val="auto"/>
          <w:sz w:val="24"/>
          <w:highlight w:val="none"/>
        </w:rPr>
        <w:fldChar w:fldCharType="end"/>
      </w:r>
    </w:p>
    <w:p>
      <w:pPr>
        <w:pStyle w:val="2"/>
        <w:rPr>
          <w:rFonts w:hint="eastAsia" w:ascii="仿宋" w:hAnsi="仿宋" w:eastAsia="仿宋" w:cs="仿宋"/>
          <w:color w:val="auto"/>
          <w:highlight w:val="none"/>
        </w:rPr>
        <w:sectPr>
          <w:footerReference r:id="rId3" w:type="default"/>
          <w:pgSz w:w="11906" w:h="16838"/>
          <w:pgMar w:top="1440" w:right="1800" w:bottom="1440" w:left="1800" w:header="851" w:footer="992" w:gutter="0"/>
          <w:pgNumType w:start="1"/>
          <w:cols w:space="720" w:num="1"/>
          <w:docGrid w:type="linesAndChars" w:linePitch="312" w:charSpace="0"/>
        </w:sectPr>
      </w:pPr>
      <w:bookmarkStart w:id="0" w:name="_Toc7381"/>
      <w:bookmarkStart w:id="1" w:name="_Toc1124_WPSOffice_Level1"/>
    </w:p>
    <w:p>
      <w:pPr>
        <w:pStyle w:val="2"/>
        <w:rPr>
          <w:rFonts w:hint="eastAsia" w:ascii="仿宋" w:hAnsi="仿宋" w:eastAsia="仿宋" w:cs="仿宋"/>
          <w:color w:val="auto"/>
          <w:highlight w:val="none"/>
        </w:rPr>
      </w:pPr>
      <w:r>
        <w:rPr>
          <w:rFonts w:hint="eastAsia" w:ascii="仿宋" w:hAnsi="仿宋" w:eastAsia="仿宋" w:cs="仿宋"/>
          <w:color w:val="auto"/>
          <w:highlight w:val="none"/>
        </w:rPr>
        <w:t>（</w:t>
      </w:r>
      <w:r>
        <w:rPr>
          <w:rFonts w:hint="eastAsia" w:ascii="仿宋" w:hAnsi="仿宋" w:cs="仿宋"/>
          <w:color w:val="auto"/>
          <w:highlight w:val="none"/>
          <w:lang w:eastAsia="zh-CN"/>
        </w:rPr>
        <w:t>2022年高标准农田建设项目土壤改良</w:t>
      </w:r>
      <w:r>
        <w:rPr>
          <w:rFonts w:hint="eastAsia" w:ascii="仿宋" w:hAnsi="仿宋" w:eastAsia="仿宋" w:cs="仿宋"/>
          <w:color w:val="auto"/>
          <w:highlight w:val="none"/>
        </w:rPr>
        <w:t>）的招标公告</w:t>
      </w:r>
      <w:bookmarkEnd w:id="0"/>
      <w:bookmarkEnd w:id="1"/>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cs="仿宋"/>
          <w:color w:val="auto"/>
          <w:szCs w:val="21"/>
          <w:highlight w:val="none"/>
          <w:u w:val="single"/>
          <w:lang w:eastAsia="zh-CN"/>
        </w:rPr>
        <w:t>2022年高标准农田建设项目土壤改良</w:t>
      </w:r>
      <w:r>
        <w:rPr>
          <w:rFonts w:hint="eastAsia" w:ascii="仿宋" w:hAnsi="仿宋" w:eastAsia="仿宋" w:cs="仿宋"/>
          <w:color w:val="auto"/>
          <w:szCs w:val="21"/>
          <w:highlight w:val="none"/>
          <w:u w:val="single"/>
        </w:rPr>
        <w:t>)</w:t>
      </w:r>
      <w:r>
        <w:rPr>
          <w:rFonts w:hint="eastAsia" w:ascii="仿宋" w:hAnsi="仿宋" w:eastAsia="仿宋" w:cs="仿宋"/>
          <w:color w:val="auto"/>
          <w:szCs w:val="21"/>
          <w:highlight w:val="none"/>
        </w:rPr>
        <w:t xml:space="preserve"> 招标项目的潜在供应商应在</w:t>
      </w:r>
      <w:r>
        <w:rPr>
          <w:rFonts w:hint="eastAsia" w:ascii="仿宋" w:hAnsi="仿宋" w:eastAsia="仿宋" w:cs="仿宋"/>
          <w:color w:val="auto"/>
          <w:szCs w:val="21"/>
          <w:highlight w:val="none"/>
          <w:u w:val="single"/>
        </w:rPr>
        <w:t>（</w:t>
      </w:r>
      <w:r>
        <w:rPr>
          <w:rFonts w:hint="eastAsia" w:ascii="仿宋" w:hAnsi="仿宋" w:eastAsia="仿宋" w:cs="仿宋"/>
          <w:i/>
          <w:color w:val="auto"/>
          <w:szCs w:val="21"/>
          <w:highlight w:val="none"/>
          <w:u w:val="single"/>
          <w:lang w:eastAsia="zh-CN"/>
        </w:rPr>
        <w:t>辽宁政府采购网</w:t>
      </w:r>
      <w:r>
        <w:rPr>
          <w:rFonts w:hint="eastAsia" w:ascii="仿宋" w:hAnsi="仿宋" w:eastAsia="仿宋" w:cs="仿宋"/>
          <w:color w:val="auto"/>
          <w:szCs w:val="21"/>
          <w:highlight w:val="none"/>
          <w:u w:val="single"/>
        </w:rPr>
        <w:t>）</w:t>
      </w:r>
      <w:r>
        <w:rPr>
          <w:rFonts w:hint="eastAsia" w:ascii="仿宋" w:hAnsi="仿宋" w:eastAsia="仿宋" w:cs="仿宋"/>
          <w:color w:val="auto"/>
          <w:szCs w:val="21"/>
          <w:highlight w:val="none"/>
        </w:rPr>
        <w:t>获取招标文件，并于</w:t>
      </w:r>
      <w:r>
        <w:rPr>
          <w:rFonts w:hint="eastAsia" w:ascii="仿宋" w:hAnsi="仿宋" w:eastAsia="仿宋" w:cs="仿宋"/>
          <w:color w:val="auto"/>
          <w:szCs w:val="21"/>
          <w:highlight w:val="none"/>
          <w:u w:val="single"/>
          <w:lang w:val="en-US" w:eastAsia="zh-CN"/>
        </w:rPr>
        <w:t>2024</w:t>
      </w:r>
      <w:r>
        <w:rPr>
          <w:rFonts w:hint="eastAsia" w:ascii="仿宋" w:hAnsi="仿宋" w:eastAsia="仿宋" w:cs="仿宋"/>
          <w:bCs/>
          <w:color w:val="auto"/>
          <w:szCs w:val="21"/>
          <w:highlight w:val="none"/>
          <w:u w:val="single"/>
        </w:rPr>
        <w:t>年</w:t>
      </w:r>
      <w:r>
        <w:rPr>
          <w:rFonts w:hint="eastAsia" w:ascii="仿宋" w:hAnsi="仿宋" w:eastAsia="仿宋" w:cs="仿宋"/>
          <w:bCs/>
          <w:color w:val="auto"/>
          <w:szCs w:val="21"/>
          <w:highlight w:val="none"/>
          <w:u w:val="single"/>
          <w:lang w:val="en-US" w:eastAsia="zh-CN"/>
        </w:rPr>
        <w:t>0</w:t>
      </w:r>
      <w:r>
        <w:rPr>
          <w:rFonts w:hint="eastAsia" w:ascii="仿宋" w:hAnsi="仿宋" w:cs="仿宋"/>
          <w:bCs/>
          <w:color w:val="auto"/>
          <w:szCs w:val="21"/>
          <w:highlight w:val="none"/>
          <w:u w:val="single"/>
          <w:lang w:val="en-US" w:eastAsia="zh-CN"/>
        </w:rPr>
        <w:t>3</w:t>
      </w:r>
      <w:r>
        <w:rPr>
          <w:rFonts w:hint="eastAsia" w:ascii="仿宋" w:hAnsi="仿宋" w:eastAsia="仿宋" w:cs="仿宋"/>
          <w:bCs/>
          <w:color w:val="auto"/>
          <w:szCs w:val="21"/>
          <w:highlight w:val="none"/>
          <w:u w:val="single"/>
        </w:rPr>
        <w:t>月</w:t>
      </w:r>
      <w:r>
        <w:rPr>
          <w:rFonts w:hint="eastAsia" w:ascii="仿宋" w:hAnsi="仿宋" w:cs="仿宋"/>
          <w:bCs/>
          <w:color w:val="auto"/>
          <w:szCs w:val="21"/>
          <w:highlight w:val="none"/>
          <w:u w:val="single"/>
          <w:lang w:val="en-US" w:eastAsia="zh-CN"/>
        </w:rPr>
        <w:t>27</w:t>
      </w:r>
      <w:r>
        <w:rPr>
          <w:rFonts w:hint="eastAsia" w:ascii="仿宋" w:hAnsi="仿宋" w:eastAsia="仿宋" w:cs="仿宋"/>
          <w:bCs/>
          <w:color w:val="auto"/>
          <w:szCs w:val="21"/>
          <w:highlight w:val="none"/>
          <w:u w:val="single"/>
        </w:rPr>
        <w:t xml:space="preserve">日 </w:t>
      </w:r>
      <w:r>
        <w:rPr>
          <w:rFonts w:hint="eastAsia" w:ascii="仿宋" w:hAnsi="仿宋" w:eastAsia="仿宋" w:cs="仿宋"/>
          <w:bCs/>
          <w:color w:val="auto"/>
          <w:szCs w:val="21"/>
          <w:highlight w:val="none"/>
          <w:u w:val="single"/>
          <w:lang w:val="en-US" w:eastAsia="zh-CN"/>
        </w:rPr>
        <w:t>09</w:t>
      </w:r>
      <w:r>
        <w:rPr>
          <w:rFonts w:hint="eastAsia" w:ascii="仿宋" w:hAnsi="仿宋" w:eastAsia="仿宋" w:cs="仿宋"/>
          <w:bCs/>
          <w:color w:val="auto"/>
          <w:szCs w:val="21"/>
          <w:highlight w:val="none"/>
          <w:u w:val="single"/>
        </w:rPr>
        <w:t>点</w:t>
      </w:r>
      <w:r>
        <w:rPr>
          <w:rFonts w:hint="eastAsia" w:ascii="仿宋" w:hAnsi="仿宋" w:cs="仿宋"/>
          <w:bCs/>
          <w:color w:val="auto"/>
          <w:szCs w:val="21"/>
          <w:highlight w:val="none"/>
          <w:u w:val="single"/>
          <w:lang w:val="en-US" w:eastAsia="zh-CN"/>
        </w:rPr>
        <w:t>3</w:t>
      </w:r>
      <w:r>
        <w:rPr>
          <w:rFonts w:hint="eastAsia" w:ascii="仿宋" w:hAnsi="仿宋" w:eastAsia="仿宋" w:cs="仿宋"/>
          <w:bCs/>
          <w:color w:val="auto"/>
          <w:szCs w:val="21"/>
          <w:highlight w:val="none"/>
          <w:u w:val="single"/>
          <w:lang w:val="en-US" w:eastAsia="zh-CN"/>
        </w:rPr>
        <w:t>0</w:t>
      </w:r>
      <w:r>
        <w:rPr>
          <w:rFonts w:hint="eastAsia" w:ascii="仿宋" w:hAnsi="仿宋" w:eastAsia="仿宋" w:cs="仿宋"/>
          <w:bCs/>
          <w:color w:val="auto"/>
          <w:szCs w:val="21"/>
          <w:highlight w:val="none"/>
          <w:u w:val="single"/>
        </w:rPr>
        <w:t>分</w:t>
      </w:r>
      <w:r>
        <w:rPr>
          <w:rFonts w:hint="eastAsia" w:ascii="仿宋" w:hAnsi="仿宋" w:eastAsia="仿宋" w:cs="仿宋"/>
          <w:bCs/>
          <w:color w:val="auto"/>
          <w:szCs w:val="21"/>
          <w:highlight w:val="none"/>
          <w:u w:val="none"/>
        </w:rPr>
        <w:t>（</w:t>
      </w:r>
      <w:r>
        <w:rPr>
          <w:rFonts w:hint="eastAsia" w:ascii="仿宋" w:hAnsi="仿宋" w:eastAsia="仿宋" w:cs="仿宋"/>
          <w:bCs/>
          <w:color w:val="auto"/>
          <w:szCs w:val="21"/>
          <w:highlight w:val="none"/>
        </w:rPr>
        <w:t>北京时间）前递交投标文件</w:t>
      </w:r>
      <w:r>
        <w:rPr>
          <w:rFonts w:hint="eastAsia" w:ascii="仿宋" w:hAnsi="仿宋" w:eastAsia="仿宋" w:cs="仿宋"/>
          <w:color w:val="auto"/>
          <w:szCs w:val="21"/>
          <w:highlight w:val="none"/>
        </w:rPr>
        <w:t>。</w:t>
      </w:r>
    </w:p>
    <w:p>
      <w:pPr>
        <w:widowControl/>
        <w:adjustRightInd w:val="0"/>
        <w:snapToGrid w:val="0"/>
        <w:spacing w:line="360" w:lineRule="auto"/>
        <w:ind w:firstLine="420" w:firstLineChars="200"/>
        <w:jc w:val="left"/>
        <w:rPr>
          <w:rFonts w:hint="eastAsia" w:ascii="仿宋" w:hAnsi="仿宋" w:eastAsia="仿宋" w:cs="仿宋"/>
          <w:b/>
          <w:bCs/>
          <w:color w:val="auto"/>
          <w:kern w:val="0"/>
          <w:szCs w:val="21"/>
          <w:highlight w:val="none"/>
        </w:rPr>
      </w:pPr>
      <w:r>
        <w:rPr>
          <w:rFonts w:hint="eastAsia" w:ascii="仿宋" w:hAnsi="仿宋" w:eastAsia="仿宋" w:cs="仿宋"/>
          <w:color w:val="auto"/>
          <w:kern w:val="0"/>
          <w:szCs w:val="21"/>
          <w:highlight w:val="none"/>
        </w:rPr>
        <w:t xml:space="preserve"> </w:t>
      </w:r>
    </w:p>
    <w:p>
      <w:pPr>
        <w:adjustRightInd w:val="0"/>
        <w:snapToGrid w:val="0"/>
        <w:spacing w:line="360" w:lineRule="auto"/>
        <w:rPr>
          <w:rFonts w:hint="eastAsia" w:ascii="仿宋" w:hAnsi="仿宋" w:eastAsia="仿宋" w:cs="仿宋"/>
          <w:b/>
          <w:bCs/>
          <w:color w:val="auto"/>
          <w:szCs w:val="21"/>
          <w:highlight w:val="none"/>
        </w:rPr>
      </w:pPr>
      <w:bookmarkStart w:id="2" w:name="_Toc35393790"/>
      <w:bookmarkStart w:id="3" w:name="_Toc35393621"/>
      <w:bookmarkStart w:id="4" w:name="_Toc28359002"/>
      <w:bookmarkStart w:id="5" w:name="_Toc28359079"/>
      <w:bookmarkStart w:id="6" w:name="_Hlk24379207"/>
      <w:r>
        <w:rPr>
          <w:rFonts w:hint="eastAsia" w:ascii="仿宋" w:hAnsi="仿宋" w:eastAsia="仿宋" w:cs="仿宋"/>
          <w:b/>
          <w:bCs/>
          <w:color w:val="auto"/>
          <w:szCs w:val="21"/>
          <w:highlight w:val="none"/>
        </w:rPr>
        <w:t>一、项目基本情况</w:t>
      </w:r>
      <w:bookmarkEnd w:id="2"/>
      <w:bookmarkEnd w:id="3"/>
      <w:bookmarkEnd w:id="4"/>
      <w:bookmarkEnd w:id="5"/>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项目编号：JH24-210381-00148</w:t>
      </w:r>
    </w:p>
    <w:p>
      <w:pPr>
        <w:adjustRightInd w:val="0"/>
        <w:snapToGrid w:val="0"/>
        <w:spacing w:line="360" w:lineRule="auto"/>
        <w:ind w:firstLine="420" w:firstLineChars="200"/>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项目名称：</w:t>
      </w:r>
      <w:r>
        <w:rPr>
          <w:rFonts w:hint="eastAsia" w:ascii="仿宋" w:hAnsi="仿宋" w:cs="仿宋"/>
          <w:color w:val="auto"/>
          <w:szCs w:val="21"/>
          <w:highlight w:val="none"/>
          <w:lang w:eastAsia="zh-CN"/>
        </w:rPr>
        <w:t>2022年高标准农田建设项目土壤改良</w:t>
      </w:r>
    </w:p>
    <w:bookmarkEnd w:id="6"/>
    <w:p>
      <w:pPr>
        <w:adjustRightInd w:val="0"/>
        <w:snapToGrid w:val="0"/>
        <w:spacing w:line="360" w:lineRule="auto"/>
        <w:ind w:firstLine="420" w:firstLineChars="200"/>
        <w:rPr>
          <w:rFonts w:hint="eastAsia" w:ascii="仿宋" w:hAnsi="仿宋" w:eastAsia="仿宋" w:cs="仿宋"/>
          <w:color w:val="auto"/>
          <w:szCs w:val="21"/>
          <w:highlight w:val="none"/>
        </w:rPr>
      </w:pPr>
      <w:bookmarkStart w:id="7" w:name="_Toc28359003"/>
      <w:bookmarkStart w:id="8" w:name="_Toc35393791"/>
      <w:bookmarkStart w:id="9" w:name="_Toc35393622"/>
      <w:bookmarkStart w:id="10" w:name="_Toc28359080"/>
      <w:r>
        <w:rPr>
          <w:rFonts w:hint="eastAsia" w:ascii="仿宋" w:hAnsi="仿宋" w:eastAsia="仿宋" w:cs="仿宋"/>
          <w:color w:val="auto"/>
          <w:szCs w:val="21"/>
          <w:highlight w:val="none"/>
        </w:rPr>
        <w:t>包组编号：001</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预算金额：4,878,100.00元</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最高限价：4,878,100.00元</w:t>
      </w:r>
    </w:p>
    <w:p>
      <w:pPr>
        <w:adjustRightInd w:val="0"/>
        <w:snapToGrid w:val="0"/>
        <w:spacing w:line="360" w:lineRule="auto"/>
        <w:ind w:firstLine="420" w:firstLineChars="2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采购需求：</w:t>
      </w:r>
      <w:r>
        <w:rPr>
          <w:rFonts w:hint="eastAsia" w:ascii="仿宋" w:hAnsi="仿宋" w:cs="仿宋"/>
          <w:color w:val="auto"/>
          <w:szCs w:val="21"/>
          <w:highlight w:val="none"/>
          <w:lang w:eastAsia="zh-CN"/>
        </w:rPr>
        <w:t>2022年高标准农田建设项目土壤改良</w:t>
      </w:r>
      <w:r>
        <w:rPr>
          <w:rFonts w:hint="eastAsia" w:ascii="仿宋" w:hAnsi="仿宋" w:eastAsia="仿宋" w:cs="仿宋"/>
          <w:color w:val="auto"/>
          <w:szCs w:val="21"/>
          <w:highlight w:val="none"/>
        </w:rPr>
        <w:t>商品有机肥选用颗粒状商品有机肥，且符合中华人民共和国农业行业标准《有机肥料》（NY/T 525-2021）的规定，施用标准为平均0.2t/亩。</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合同履行期限：合同签订后至2024年</w:t>
      </w:r>
      <w:r>
        <w:rPr>
          <w:rFonts w:hint="eastAsia" w:ascii="仿宋" w:hAnsi="仿宋" w:cs="仿宋"/>
          <w:color w:val="auto"/>
          <w:szCs w:val="21"/>
          <w:highlight w:val="none"/>
          <w:lang w:val="en-US" w:eastAsia="zh-CN"/>
        </w:rPr>
        <w:t>4</w:t>
      </w:r>
      <w:r>
        <w:rPr>
          <w:rFonts w:hint="eastAsia" w:ascii="仿宋" w:hAnsi="仿宋" w:eastAsia="仿宋" w:cs="仿宋"/>
          <w:color w:val="auto"/>
          <w:szCs w:val="21"/>
          <w:highlight w:val="none"/>
        </w:rPr>
        <w:t>月10日前</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需落实的政府采购政策内容：执行落实对中小微企业、监狱企业、残疾人就业、脱贫攻坚等政府采购相关政策</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本项目（</w:t>
      </w:r>
      <w:r>
        <w:rPr>
          <w:rFonts w:hint="eastAsia" w:ascii="仿宋" w:hAnsi="仿宋" w:eastAsia="仿宋" w:cs="仿宋"/>
          <w:i/>
          <w:color w:val="auto"/>
          <w:szCs w:val="21"/>
          <w:highlight w:val="none"/>
        </w:rPr>
        <w:t>是/否</w:t>
      </w:r>
      <w:r>
        <w:rPr>
          <w:rFonts w:hint="eastAsia" w:ascii="仿宋" w:hAnsi="仿宋" w:eastAsia="仿宋" w:cs="仿宋"/>
          <w:color w:val="auto"/>
          <w:szCs w:val="21"/>
          <w:highlight w:val="none"/>
        </w:rPr>
        <w:t>）接受联合体投标:</w:t>
      </w:r>
      <w:r>
        <w:rPr>
          <w:rFonts w:hint="eastAsia" w:ascii="仿宋" w:hAnsi="仿宋" w:eastAsia="仿宋" w:cs="仿宋"/>
          <w:i/>
          <w:color w:val="auto"/>
          <w:szCs w:val="21"/>
          <w:highlight w:val="none"/>
        </w:rPr>
        <w:t>否</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包组编号：002</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预算金额：4,118,700.00元</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最高限价：4,118,700.00元</w:t>
      </w:r>
    </w:p>
    <w:p>
      <w:pPr>
        <w:adjustRightInd w:val="0"/>
        <w:snapToGrid w:val="0"/>
        <w:spacing w:line="360" w:lineRule="auto"/>
        <w:ind w:firstLine="420" w:firstLineChars="2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采购需求：</w:t>
      </w:r>
      <w:r>
        <w:rPr>
          <w:rFonts w:hint="eastAsia" w:ascii="仿宋" w:hAnsi="仿宋" w:cs="仿宋"/>
          <w:color w:val="auto"/>
          <w:szCs w:val="21"/>
          <w:highlight w:val="none"/>
          <w:lang w:eastAsia="zh-CN"/>
        </w:rPr>
        <w:t>2022年高标准农田建设项目土壤改良</w:t>
      </w:r>
      <w:r>
        <w:rPr>
          <w:rFonts w:hint="eastAsia" w:ascii="仿宋" w:hAnsi="仿宋" w:eastAsia="仿宋" w:cs="仿宋"/>
          <w:color w:val="auto"/>
          <w:szCs w:val="21"/>
          <w:highlight w:val="none"/>
        </w:rPr>
        <w:t>商品有机肥选用颗粒状商品有机肥，且符合中华人民共和国农业行业标准《有机肥料》（NY/T 525-2021）的规定，施用标准为平均0.2t/亩。</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合同履行期限：合同签订后至2024年</w:t>
      </w:r>
      <w:r>
        <w:rPr>
          <w:rFonts w:hint="eastAsia" w:ascii="仿宋" w:hAnsi="仿宋" w:cs="仿宋"/>
          <w:color w:val="auto"/>
          <w:szCs w:val="21"/>
          <w:highlight w:val="none"/>
          <w:lang w:val="en-US" w:eastAsia="zh-CN"/>
        </w:rPr>
        <w:t>4</w:t>
      </w:r>
      <w:r>
        <w:rPr>
          <w:rFonts w:hint="eastAsia" w:ascii="仿宋" w:hAnsi="仿宋" w:eastAsia="仿宋" w:cs="仿宋"/>
          <w:color w:val="auto"/>
          <w:szCs w:val="21"/>
          <w:highlight w:val="none"/>
        </w:rPr>
        <w:t>月10日前</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需落实的政府采购政策内容：执行落实对中小微企业、监狱企业、残疾人就业、脱贫攻坚等政府采购相关政策</w:t>
      </w:r>
    </w:p>
    <w:p>
      <w:pPr>
        <w:adjustRightInd w:val="0"/>
        <w:snapToGrid w:val="0"/>
        <w:spacing w:line="360" w:lineRule="auto"/>
        <w:ind w:firstLine="420" w:firstLineChars="200"/>
        <w:rPr>
          <w:rFonts w:hint="eastAsia" w:ascii="仿宋" w:hAnsi="仿宋" w:eastAsia="仿宋" w:cs="仿宋"/>
          <w:b/>
          <w:bCs/>
          <w:color w:val="auto"/>
          <w:szCs w:val="21"/>
          <w:highlight w:val="none"/>
        </w:rPr>
      </w:pPr>
      <w:r>
        <w:rPr>
          <w:rFonts w:hint="eastAsia" w:ascii="仿宋" w:hAnsi="仿宋" w:eastAsia="仿宋" w:cs="仿宋"/>
          <w:color w:val="auto"/>
          <w:szCs w:val="21"/>
          <w:highlight w:val="none"/>
        </w:rPr>
        <w:t>本项目（</w:t>
      </w:r>
      <w:r>
        <w:rPr>
          <w:rFonts w:hint="eastAsia" w:ascii="仿宋" w:hAnsi="仿宋" w:eastAsia="仿宋" w:cs="仿宋"/>
          <w:i/>
          <w:color w:val="auto"/>
          <w:szCs w:val="21"/>
          <w:highlight w:val="none"/>
        </w:rPr>
        <w:t>是/否</w:t>
      </w:r>
      <w:r>
        <w:rPr>
          <w:rFonts w:hint="eastAsia" w:ascii="仿宋" w:hAnsi="仿宋" w:eastAsia="仿宋" w:cs="仿宋"/>
          <w:color w:val="auto"/>
          <w:szCs w:val="21"/>
          <w:highlight w:val="none"/>
        </w:rPr>
        <w:t>）接受联合体投标:</w:t>
      </w:r>
      <w:r>
        <w:rPr>
          <w:rFonts w:hint="eastAsia" w:ascii="仿宋" w:hAnsi="仿宋" w:eastAsia="仿宋" w:cs="仿宋"/>
          <w:i/>
          <w:color w:val="auto"/>
          <w:szCs w:val="21"/>
          <w:highlight w:val="none"/>
        </w:rPr>
        <w:t>否</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二、供应商的资格要求：</w:t>
      </w:r>
      <w:bookmarkEnd w:id="7"/>
      <w:bookmarkEnd w:id="8"/>
      <w:bookmarkEnd w:id="9"/>
      <w:bookmarkEnd w:id="10"/>
    </w:p>
    <w:p>
      <w:pPr>
        <w:adjustRightInd w:val="0"/>
        <w:snapToGrid w:val="0"/>
        <w:spacing w:line="360" w:lineRule="auto"/>
        <w:ind w:firstLine="420" w:firstLineChars="200"/>
        <w:rPr>
          <w:rFonts w:hint="eastAsia" w:ascii="仿宋" w:hAnsi="仿宋" w:cs="仿宋"/>
          <w:color w:val="auto"/>
          <w:szCs w:val="21"/>
          <w:highlight w:val="none"/>
        </w:rPr>
      </w:pPr>
      <w:bookmarkStart w:id="11" w:name="_Toc28359081"/>
      <w:bookmarkStart w:id="12" w:name="_Toc28359004"/>
      <w:r>
        <w:rPr>
          <w:rFonts w:hint="eastAsia" w:ascii="仿宋" w:hAnsi="仿宋" w:cs="仿宋"/>
          <w:color w:val="auto"/>
          <w:szCs w:val="21"/>
          <w:highlight w:val="none"/>
        </w:rPr>
        <w:t>1.满足《中华人民共和国政府采购法》第二十二条规定；</w:t>
      </w:r>
    </w:p>
    <w:p>
      <w:pPr>
        <w:adjustRightInd w:val="0"/>
        <w:snapToGrid w:val="0"/>
        <w:spacing w:line="360" w:lineRule="auto"/>
        <w:ind w:firstLine="420" w:firstLineChars="200"/>
        <w:rPr>
          <w:rFonts w:hint="eastAsia" w:ascii="仿宋" w:hAnsi="仿宋" w:cs="仿宋"/>
          <w:color w:val="auto"/>
          <w:szCs w:val="21"/>
          <w:highlight w:val="none"/>
        </w:rPr>
      </w:pPr>
      <w:r>
        <w:rPr>
          <w:rFonts w:hint="eastAsia" w:ascii="仿宋" w:hAnsi="仿宋" w:cs="仿宋"/>
          <w:color w:val="auto"/>
          <w:szCs w:val="21"/>
          <w:highlight w:val="none"/>
        </w:rPr>
        <w:t>2.落实政府采购政策需满足的资格要求：无</w:t>
      </w:r>
    </w:p>
    <w:p>
      <w:pPr>
        <w:adjustRightInd w:val="0"/>
        <w:snapToGrid w:val="0"/>
        <w:spacing w:line="360" w:lineRule="auto"/>
        <w:ind w:firstLine="420" w:firstLineChars="200"/>
        <w:rPr>
          <w:rFonts w:hint="eastAsia" w:ascii="仿宋" w:hAnsi="仿宋" w:cs="仿宋"/>
          <w:i/>
          <w:iCs/>
          <w:color w:val="auto"/>
          <w:szCs w:val="21"/>
          <w:highlight w:val="none"/>
          <w:u w:val="single"/>
        </w:rPr>
      </w:pPr>
      <w:r>
        <w:rPr>
          <w:rFonts w:hint="eastAsia" w:ascii="仿宋" w:hAnsi="仿宋" w:cs="仿宋"/>
          <w:color w:val="auto"/>
          <w:szCs w:val="21"/>
          <w:highlight w:val="none"/>
        </w:rPr>
        <w:t>3.本项目的特定资格要求：取得农业农村部生物有机肥产品登记证（如为代理商，提供生产企业的生物有机肥产品登记证）。</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三、政府采购供应商入库须知</w:t>
      </w:r>
    </w:p>
    <w:p>
      <w:pPr>
        <w:adjustRightInd w:val="0"/>
        <w:snapToGrid w:val="0"/>
        <w:spacing w:line="360" w:lineRule="auto"/>
        <w:ind w:firstLine="420" w:firstLineChars="200"/>
        <w:rPr>
          <w:rFonts w:hint="eastAsia" w:ascii="仿宋" w:hAnsi="仿宋" w:eastAsia="仿宋" w:cs="仿宋"/>
          <w:color w:val="auto"/>
          <w:szCs w:val="21"/>
          <w:highlight w:val="none"/>
        </w:rPr>
      </w:pPr>
      <w:bookmarkStart w:id="13" w:name="_Toc35393792"/>
      <w:bookmarkStart w:id="14" w:name="_Toc35393623"/>
      <w:r>
        <w:rPr>
          <w:rFonts w:hint="eastAsia" w:ascii="仿宋" w:hAnsi="仿宋" w:eastAsia="仿宋" w:cs="仿宋"/>
          <w:color w:val="auto"/>
          <w:szCs w:val="21"/>
          <w:highlight w:val="none"/>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由系统自动开通账号后，即可参与政府采购活动。具体规定详见《关于进一步优化辽宁省政府采购供应商入库程序的通知》（辽财采函〔2020〕198号）。</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四、获取招标文件</w:t>
      </w:r>
      <w:bookmarkEnd w:id="11"/>
      <w:bookmarkEnd w:id="12"/>
      <w:bookmarkEnd w:id="13"/>
      <w:bookmarkEnd w:id="14"/>
    </w:p>
    <w:p>
      <w:pPr>
        <w:adjustRightInd w:val="0"/>
        <w:snapToGrid w:val="0"/>
        <w:spacing w:line="360" w:lineRule="auto"/>
        <w:ind w:firstLine="540"/>
        <w:rPr>
          <w:rFonts w:hint="eastAsia" w:ascii="仿宋" w:hAnsi="仿宋" w:eastAsia="仿宋" w:cs="仿宋"/>
          <w:color w:val="auto"/>
          <w:szCs w:val="21"/>
          <w:highlight w:val="none"/>
        </w:rPr>
      </w:pPr>
      <w:r>
        <w:rPr>
          <w:rFonts w:hint="eastAsia" w:ascii="仿宋" w:hAnsi="仿宋" w:eastAsia="仿宋" w:cs="仿宋"/>
          <w:color w:val="auto"/>
          <w:szCs w:val="21"/>
          <w:highlight w:val="none"/>
        </w:rPr>
        <w:t>时间：</w:t>
      </w:r>
      <w:r>
        <w:rPr>
          <w:rFonts w:hint="eastAsia" w:ascii="仿宋" w:hAnsi="仿宋" w:eastAsia="仿宋" w:cs="仿宋"/>
          <w:color w:val="auto"/>
          <w:szCs w:val="21"/>
          <w:highlight w:val="none"/>
          <w:u w:val="single"/>
        </w:rPr>
        <w:t xml:space="preserve"> </w:t>
      </w:r>
      <w:r>
        <w:rPr>
          <w:rFonts w:hint="eastAsia" w:ascii="仿宋" w:hAnsi="仿宋" w:cs="仿宋"/>
          <w:color w:val="auto"/>
          <w:szCs w:val="21"/>
          <w:highlight w:val="none"/>
          <w:u w:val="single"/>
          <w:lang w:val="en-US" w:eastAsia="zh-CN"/>
        </w:rPr>
        <w:t>2024</w:t>
      </w:r>
      <w:r>
        <w:rPr>
          <w:rFonts w:hint="eastAsia" w:ascii="仿宋" w:hAnsi="仿宋" w:eastAsia="仿宋" w:cs="仿宋"/>
          <w:color w:val="auto"/>
          <w:szCs w:val="21"/>
          <w:highlight w:val="none"/>
          <w:u w:val="single"/>
        </w:rPr>
        <w:t>年</w:t>
      </w:r>
      <w:r>
        <w:rPr>
          <w:rFonts w:hint="eastAsia" w:ascii="仿宋" w:hAnsi="仿宋" w:cs="仿宋"/>
          <w:color w:val="auto"/>
          <w:szCs w:val="21"/>
          <w:highlight w:val="none"/>
          <w:u w:val="single"/>
          <w:lang w:val="en-US" w:eastAsia="zh-CN"/>
        </w:rPr>
        <w:t>03</w:t>
      </w:r>
      <w:r>
        <w:rPr>
          <w:rFonts w:hint="eastAsia" w:ascii="仿宋" w:hAnsi="仿宋" w:eastAsia="仿宋" w:cs="仿宋"/>
          <w:color w:val="auto"/>
          <w:szCs w:val="21"/>
          <w:highlight w:val="none"/>
          <w:u w:val="single"/>
        </w:rPr>
        <w:t>月</w:t>
      </w:r>
      <w:r>
        <w:rPr>
          <w:rFonts w:hint="eastAsia" w:ascii="仿宋" w:hAnsi="仿宋" w:cs="仿宋"/>
          <w:color w:val="auto"/>
          <w:szCs w:val="21"/>
          <w:highlight w:val="none"/>
          <w:u w:val="single"/>
          <w:lang w:val="en-US" w:eastAsia="zh-CN"/>
        </w:rPr>
        <w:t>06</w:t>
      </w:r>
      <w:r>
        <w:rPr>
          <w:rFonts w:hint="eastAsia" w:ascii="仿宋" w:hAnsi="仿宋" w:eastAsia="仿宋" w:cs="仿宋"/>
          <w:color w:val="auto"/>
          <w:szCs w:val="21"/>
          <w:highlight w:val="none"/>
          <w:u w:val="single"/>
        </w:rPr>
        <w:t>日</w:t>
      </w:r>
      <w:r>
        <w:rPr>
          <w:rFonts w:hint="eastAsia" w:ascii="仿宋" w:hAnsi="仿宋" w:eastAsia="仿宋" w:cs="仿宋"/>
          <w:color w:val="auto"/>
          <w:szCs w:val="21"/>
          <w:highlight w:val="none"/>
        </w:rPr>
        <w:t>至</w:t>
      </w:r>
      <w:r>
        <w:rPr>
          <w:rFonts w:hint="eastAsia" w:ascii="仿宋" w:hAnsi="仿宋" w:eastAsia="仿宋" w:cs="仿宋"/>
          <w:color w:val="auto"/>
          <w:szCs w:val="21"/>
          <w:highlight w:val="none"/>
          <w:u w:val="single"/>
        </w:rPr>
        <w:t xml:space="preserve"> </w:t>
      </w:r>
      <w:r>
        <w:rPr>
          <w:rFonts w:hint="eastAsia" w:ascii="仿宋" w:hAnsi="仿宋" w:cs="仿宋"/>
          <w:color w:val="auto"/>
          <w:szCs w:val="21"/>
          <w:highlight w:val="none"/>
          <w:u w:val="single"/>
          <w:lang w:val="en-US" w:eastAsia="zh-CN"/>
        </w:rPr>
        <w:t>2024</w:t>
      </w:r>
      <w:r>
        <w:rPr>
          <w:rFonts w:hint="eastAsia" w:ascii="仿宋" w:hAnsi="仿宋" w:eastAsia="仿宋" w:cs="仿宋"/>
          <w:color w:val="auto"/>
          <w:szCs w:val="21"/>
          <w:highlight w:val="none"/>
          <w:u w:val="single"/>
        </w:rPr>
        <w:t>年</w:t>
      </w:r>
      <w:r>
        <w:rPr>
          <w:rFonts w:hint="eastAsia" w:ascii="仿宋" w:hAnsi="仿宋" w:cs="仿宋"/>
          <w:color w:val="auto"/>
          <w:szCs w:val="21"/>
          <w:highlight w:val="none"/>
          <w:u w:val="single"/>
          <w:lang w:val="en-US" w:eastAsia="zh-CN"/>
        </w:rPr>
        <w:t>03</w:t>
      </w:r>
      <w:r>
        <w:rPr>
          <w:rFonts w:hint="eastAsia" w:ascii="仿宋" w:hAnsi="仿宋" w:eastAsia="仿宋" w:cs="仿宋"/>
          <w:color w:val="auto"/>
          <w:szCs w:val="21"/>
          <w:highlight w:val="none"/>
          <w:u w:val="single"/>
        </w:rPr>
        <w:t>月</w:t>
      </w:r>
      <w:r>
        <w:rPr>
          <w:rFonts w:hint="eastAsia" w:ascii="仿宋" w:hAnsi="仿宋" w:cs="仿宋"/>
          <w:color w:val="auto"/>
          <w:szCs w:val="21"/>
          <w:highlight w:val="none"/>
          <w:u w:val="single"/>
          <w:lang w:val="en-US" w:eastAsia="zh-CN"/>
        </w:rPr>
        <w:t>13</w:t>
      </w:r>
      <w:r>
        <w:rPr>
          <w:rFonts w:hint="eastAsia" w:ascii="仿宋" w:hAnsi="仿宋" w:eastAsia="仿宋" w:cs="仿宋"/>
          <w:color w:val="auto"/>
          <w:szCs w:val="21"/>
          <w:highlight w:val="none"/>
          <w:u w:val="single"/>
        </w:rPr>
        <w:t>日</w:t>
      </w:r>
      <w:r>
        <w:rPr>
          <w:rFonts w:hint="eastAsia" w:ascii="仿宋" w:hAnsi="仿宋" w:eastAsia="仿宋" w:cs="仿宋"/>
          <w:iCs/>
          <w:color w:val="auto"/>
          <w:szCs w:val="21"/>
          <w:highlight w:val="none"/>
          <w:u w:val="single"/>
        </w:rPr>
        <w:t>（</w:t>
      </w:r>
      <w:r>
        <w:rPr>
          <w:rFonts w:hint="eastAsia" w:ascii="仿宋" w:hAnsi="仿宋" w:eastAsia="仿宋" w:cs="仿宋"/>
          <w:i/>
          <w:color w:val="auto"/>
          <w:szCs w:val="21"/>
          <w:highlight w:val="none"/>
          <w:u w:val="single"/>
        </w:rPr>
        <w:t>提供期限自本公告发布之日起不得少于5个工作日</w:t>
      </w:r>
      <w:r>
        <w:rPr>
          <w:rFonts w:hint="eastAsia" w:ascii="仿宋" w:hAnsi="仿宋" w:eastAsia="仿宋" w:cs="仿宋"/>
          <w:iCs/>
          <w:color w:val="auto"/>
          <w:szCs w:val="21"/>
          <w:highlight w:val="none"/>
          <w:u w:val="single"/>
        </w:rPr>
        <w:t>）</w:t>
      </w:r>
      <w:r>
        <w:rPr>
          <w:rFonts w:hint="eastAsia" w:ascii="仿宋" w:hAnsi="仿宋" w:eastAsia="仿宋" w:cs="仿宋"/>
          <w:color w:val="auto"/>
          <w:szCs w:val="21"/>
          <w:highlight w:val="none"/>
        </w:rPr>
        <w:t>，每天上午</w:t>
      </w:r>
      <w:r>
        <w:rPr>
          <w:rFonts w:hint="eastAsia" w:ascii="仿宋" w:hAnsi="仿宋" w:cs="仿宋"/>
          <w:color w:val="auto"/>
          <w:szCs w:val="21"/>
          <w:highlight w:val="none"/>
          <w:u w:val="single"/>
          <w:lang w:val="en-US" w:eastAsia="zh-CN"/>
        </w:rPr>
        <w:t>08:00</w:t>
      </w:r>
      <w:r>
        <w:rPr>
          <w:rFonts w:hint="eastAsia" w:ascii="仿宋" w:hAnsi="仿宋" w:eastAsia="仿宋" w:cs="仿宋"/>
          <w:color w:val="auto"/>
          <w:szCs w:val="21"/>
          <w:highlight w:val="none"/>
        </w:rPr>
        <w:t>至</w:t>
      </w:r>
      <w:r>
        <w:rPr>
          <w:rFonts w:hint="eastAsia" w:ascii="仿宋" w:hAnsi="仿宋" w:cs="仿宋"/>
          <w:color w:val="auto"/>
          <w:szCs w:val="21"/>
          <w:highlight w:val="none"/>
          <w:u w:val="single"/>
          <w:lang w:val="en-US" w:eastAsia="zh-CN"/>
        </w:rPr>
        <w:t>12:00</w:t>
      </w:r>
      <w:r>
        <w:rPr>
          <w:rFonts w:hint="eastAsia" w:ascii="仿宋" w:hAnsi="仿宋" w:eastAsia="仿宋" w:cs="仿宋"/>
          <w:color w:val="auto"/>
          <w:szCs w:val="21"/>
          <w:highlight w:val="none"/>
        </w:rPr>
        <w:t>，下午</w:t>
      </w:r>
      <w:r>
        <w:rPr>
          <w:rFonts w:hint="eastAsia" w:ascii="仿宋" w:hAnsi="仿宋" w:cs="仿宋"/>
          <w:color w:val="auto"/>
          <w:szCs w:val="21"/>
          <w:highlight w:val="none"/>
          <w:u w:val="single"/>
          <w:lang w:val="en-US" w:eastAsia="zh-CN"/>
        </w:rPr>
        <w:t>12：00</w:t>
      </w:r>
      <w:r>
        <w:rPr>
          <w:rFonts w:hint="eastAsia" w:ascii="仿宋" w:hAnsi="仿宋" w:eastAsia="仿宋" w:cs="仿宋"/>
          <w:color w:val="auto"/>
          <w:szCs w:val="21"/>
          <w:highlight w:val="none"/>
        </w:rPr>
        <w:t>至</w:t>
      </w:r>
      <w:r>
        <w:rPr>
          <w:rFonts w:hint="eastAsia" w:ascii="仿宋" w:hAnsi="仿宋" w:cs="仿宋"/>
          <w:color w:val="auto"/>
          <w:szCs w:val="21"/>
          <w:highlight w:val="none"/>
          <w:u w:val="single"/>
          <w:lang w:val="en-US" w:eastAsia="zh-CN"/>
        </w:rPr>
        <w:t>16:00</w:t>
      </w:r>
      <w:r>
        <w:rPr>
          <w:rFonts w:hint="eastAsia" w:ascii="仿宋" w:hAnsi="仿宋" w:eastAsia="仿宋" w:cs="仿宋"/>
          <w:color w:val="auto"/>
          <w:szCs w:val="21"/>
          <w:highlight w:val="none"/>
        </w:rPr>
        <w:t>（北京时间，法定节假日除外）</w:t>
      </w:r>
    </w:p>
    <w:p>
      <w:pPr>
        <w:adjustRightInd w:val="0"/>
        <w:snapToGrid w:val="0"/>
        <w:spacing w:line="360" w:lineRule="auto"/>
        <w:ind w:firstLine="54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地点：线上获取</w:t>
      </w:r>
    </w:p>
    <w:p>
      <w:pPr>
        <w:adjustRightInd w:val="0"/>
        <w:snapToGrid w:val="0"/>
        <w:spacing w:line="360" w:lineRule="auto"/>
        <w:ind w:firstLine="54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方式：线上</w:t>
      </w:r>
    </w:p>
    <w:p>
      <w:pPr>
        <w:adjustRightInd w:val="0"/>
        <w:snapToGrid w:val="0"/>
        <w:spacing w:line="360" w:lineRule="auto"/>
        <w:ind w:firstLine="540"/>
        <w:rPr>
          <w:rFonts w:hint="eastAsia" w:ascii="仿宋" w:hAnsi="仿宋" w:eastAsia="仿宋" w:cs="仿宋"/>
          <w:color w:val="auto"/>
          <w:szCs w:val="21"/>
          <w:highlight w:val="none"/>
        </w:rPr>
      </w:pPr>
      <w:r>
        <w:rPr>
          <w:rFonts w:hint="eastAsia" w:ascii="仿宋" w:hAnsi="仿宋" w:eastAsia="仿宋" w:cs="仿宋"/>
          <w:color w:val="auto"/>
          <w:szCs w:val="21"/>
          <w:highlight w:val="none"/>
        </w:rPr>
        <w:t>售价：免费</w:t>
      </w:r>
    </w:p>
    <w:p>
      <w:pPr>
        <w:adjustRightInd w:val="0"/>
        <w:snapToGrid w:val="0"/>
        <w:spacing w:line="360" w:lineRule="auto"/>
        <w:rPr>
          <w:rFonts w:hint="eastAsia" w:ascii="仿宋" w:hAnsi="仿宋" w:eastAsia="仿宋" w:cs="仿宋"/>
          <w:b/>
          <w:bCs/>
          <w:color w:val="auto"/>
          <w:szCs w:val="21"/>
          <w:highlight w:val="none"/>
        </w:rPr>
      </w:pPr>
      <w:bookmarkStart w:id="15" w:name="_Toc28359005"/>
      <w:bookmarkStart w:id="16" w:name="_Toc28359082"/>
      <w:bookmarkStart w:id="17" w:name="_Toc35393793"/>
      <w:bookmarkStart w:id="18" w:name="_Toc35393624"/>
      <w:r>
        <w:rPr>
          <w:rFonts w:hint="eastAsia" w:ascii="仿宋" w:hAnsi="仿宋" w:eastAsia="仿宋" w:cs="仿宋"/>
          <w:b/>
          <w:bCs/>
          <w:color w:val="auto"/>
          <w:szCs w:val="21"/>
          <w:highlight w:val="none"/>
        </w:rPr>
        <w:t>五、提交投标文件</w:t>
      </w:r>
      <w:bookmarkEnd w:id="15"/>
      <w:bookmarkEnd w:id="16"/>
      <w:r>
        <w:rPr>
          <w:rFonts w:hint="eastAsia" w:ascii="仿宋" w:hAnsi="仿宋" w:eastAsia="仿宋" w:cs="仿宋"/>
          <w:b/>
          <w:bCs/>
          <w:color w:val="auto"/>
          <w:szCs w:val="21"/>
          <w:highlight w:val="none"/>
        </w:rPr>
        <w:t>截止时间、开标时间和地点</w:t>
      </w:r>
      <w:bookmarkEnd w:id="17"/>
      <w:bookmarkEnd w:id="18"/>
    </w:p>
    <w:p>
      <w:pPr>
        <w:adjustRightInd w:val="0"/>
        <w:snapToGrid w:val="0"/>
        <w:spacing w:line="360" w:lineRule="auto"/>
        <w:ind w:firstLine="420" w:firstLineChars="200"/>
        <w:rPr>
          <w:rFonts w:hint="eastAsia" w:ascii="仿宋" w:hAnsi="仿宋" w:eastAsia="仿宋" w:cs="仿宋"/>
          <w:bCs/>
          <w:color w:val="auto"/>
          <w:szCs w:val="21"/>
          <w:highlight w:val="none"/>
          <w:u w:val="single"/>
        </w:rPr>
      </w:pPr>
      <w:r>
        <w:rPr>
          <w:rFonts w:hint="eastAsia" w:ascii="仿宋" w:hAnsi="仿宋" w:eastAsia="仿宋" w:cs="仿宋"/>
          <w:color w:val="auto"/>
          <w:szCs w:val="21"/>
          <w:highlight w:val="none"/>
          <w:u w:val="single"/>
          <w:lang w:val="en-US" w:eastAsia="zh-CN"/>
        </w:rPr>
        <w:t>2024</w:t>
      </w:r>
      <w:r>
        <w:rPr>
          <w:rFonts w:hint="eastAsia" w:ascii="仿宋" w:hAnsi="仿宋" w:eastAsia="仿宋" w:cs="仿宋"/>
          <w:bCs/>
          <w:color w:val="auto"/>
          <w:szCs w:val="21"/>
          <w:highlight w:val="none"/>
          <w:u w:val="single"/>
        </w:rPr>
        <w:t>年</w:t>
      </w:r>
      <w:r>
        <w:rPr>
          <w:rFonts w:hint="eastAsia" w:ascii="仿宋" w:hAnsi="仿宋" w:eastAsia="仿宋" w:cs="仿宋"/>
          <w:bCs/>
          <w:color w:val="auto"/>
          <w:szCs w:val="21"/>
          <w:highlight w:val="none"/>
          <w:u w:val="single"/>
          <w:lang w:val="en-US" w:eastAsia="zh-CN"/>
        </w:rPr>
        <w:t>0</w:t>
      </w:r>
      <w:r>
        <w:rPr>
          <w:rFonts w:hint="eastAsia" w:ascii="仿宋" w:hAnsi="仿宋" w:cs="仿宋"/>
          <w:bCs/>
          <w:color w:val="auto"/>
          <w:szCs w:val="21"/>
          <w:highlight w:val="none"/>
          <w:u w:val="single"/>
          <w:lang w:val="en-US" w:eastAsia="zh-CN"/>
        </w:rPr>
        <w:t>3</w:t>
      </w:r>
      <w:r>
        <w:rPr>
          <w:rFonts w:hint="eastAsia" w:ascii="仿宋" w:hAnsi="仿宋" w:eastAsia="仿宋" w:cs="仿宋"/>
          <w:bCs/>
          <w:color w:val="auto"/>
          <w:szCs w:val="21"/>
          <w:highlight w:val="none"/>
          <w:u w:val="single"/>
        </w:rPr>
        <w:t>月</w:t>
      </w:r>
      <w:r>
        <w:rPr>
          <w:rFonts w:hint="eastAsia" w:ascii="仿宋" w:hAnsi="仿宋" w:cs="仿宋"/>
          <w:bCs/>
          <w:color w:val="auto"/>
          <w:szCs w:val="21"/>
          <w:highlight w:val="none"/>
          <w:u w:val="single"/>
          <w:lang w:val="en-US" w:eastAsia="zh-CN"/>
        </w:rPr>
        <w:t>27</w:t>
      </w:r>
      <w:r>
        <w:rPr>
          <w:rFonts w:hint="eastAsia" w:ascii="仿宋" w:hAnsi="仿宋" w:eastAsia="仿宋" w:cs="仿宋"/>
          <w:bCs/>
          <w:color w:val="auto"/>
          <w:szCs w:val="21"/>
          <w:highlight w:val="none"/>
          <w:u w:val="single"/>
        </w:rPr>
        <w:t xml:space="preserve">日 </w:t>
      </w:r>
      <w:r>
        <w:rPr>
          <w:rFonts w:hint="eastAsia" w:ascii="仿宋" w:hAnsi="仿宋" w:eastAsia="仿宋" w:cs="仿宋"/>
          <w:bCs/>
          <w:color w:val="auto"/>
          <w:szCs w:val="21"/>
          <w:highlight w:val="none"/>
          <w:u w:val="single"/>
          <w:lang w:val="en-US" w:eastAsia="zh-CN"/>
        </w:rPr>
        <w:t>09</w:t>
      </w:r>
      <w:r>
        <w:rPr>
          <w:rFonts w:hint="eastAsia" w:ascii="仿宋" w:hAnsi="仿宋" w:eastAsia="仿宋" w:cs="仿宋"/>
          <w:bCs/>
          <w:color w:val="auto"/>
          <w:szCs w:val="21"/>
          <w:highlight w:val="none"/>
          <w:u w:val="single"/>
        </w:rPr>
        <w:t>点</w:t>
      </w:r>
      <w:r>
        <w:rPr>
          <w:rFonts w:hint="eastAsia" w:ascii="仿宋" w:hAnsi="仿宋" w:cs="仿宋"/>
          <w:bCs/>
          <w:color w:val="auto"/>
          <w:szCs w:val="21"/>
          <w:highlight w:val="none"/>
          <w:u w:val="single"/>
          <w:lang w:val="en-US" w:eastAsia="zh-CN"/>
        </w:rPr>
        <w:t>3</w:t>
      </w:r>
      <w:r>
        <w:rPr>
          <w:rFonts w:hint="eastAsia" w:ascii="仿宋" w:hAnsi="仿宋" w:eastAsia="仿宋" w:cs="仿宋"/>
          <w:bCs/>
          <w:color w:val="auto"/>
          <w:szCs w:val="21"/>
          <w:highlight w:val="none"/>
          <w:u w:val="single"/>
          <w:lang w:val="en-US" w:eastAsia="zh-CN"/>
        </w:rPr>
        <w:t>0</w:t>
      </w:r>
      <w:r>
        <w:rPr>
          <w:rFonts w:hint="eastAsia" w:ascii="仿宋" w:hAnsi="仿宋" w:eastAsia="仿宋" w:cs="仿宋"/>
          <w:bCs/>
          <w:color w:val="auto"/>
          <w:szCs w:val="21"/>
          <w:highlight w:val="none"/>
          <w:u w:val="single"/>
        </w:rPr>
        <w:t>分</w:t>
      </w:r>
      <w:r>
        <w:rPr>
          <w:rFonts w:hint="eastAsia" w:ascii="仿宋" w:hAnsi="仿宋" w:eastAsia="仿宋" w:cs="仿宋"/>
          <w:bCs/>
          <w:color w:val="auto"/>
          <w:szCs w:val="21"/>
          <w:highlight w:val="none"/>
        </w:rPr>
        <w:t>（北京时间）</w:t>
      </w:r>
      <w:r>
        <w:rPr>
          <w:rFonts w:hint="eastAsia" w:ascii="仿宋" w:hAnsi="仿宋" w:eastAsia="仿宋" w:cs="仿宋"/>
          <w:iCs/>
          <w:color w:val="auto"/>
          <w:szCs w:val="21"/>
          <w:highlight w:val="none"/>
          <w:u w:val="single"/>
        </w:rPr>
        <w:t>（</w:t>
      </w:r>
      <w:r>
        <w:rPr>
          <w:rFonts w:hint="eastAsia" w:ascii="仿宋" w:hAnsi="仿宋" w:eastAsia="仿宋" w:cs="仿宋"/>
          <w:i/>
          <w:color w:val="auto"/>
          <w:szCs w:val="21"/>
          <w:highlight w:val="none"/>
          <w:u w:val="single"/>
        </w:rPr>
        <w:t>自招标文件开始发出之日起至投标人提交投标文件截止之日止，不得少于20日</w:t>
      </w:r>
      <w:r>
        <w:rPr>
          <w:rFonts w:hint="eastAsia" w:ascii="仿宋" w:hAnsi="仿宋" w:eastAsia="仿宋" w:cs="仿宋"/>
          <w:iCs/>
          <w:color w:val="auto"/>
          <w:szCs w:val="21"/>
          <w:highlight w:val="none"/>
          <w:u w:val="single"/>
        </w:rPr>
        <w:t>）</w:t>
      </w:r>
    </w:p>
    <w:p>
      <w:pPr>
        <w:adjustRightInd w:val="0"/>
        <w:snapToGrid w:val="0"/>
        <w:spacing w:line="360" w:lineRule="auto"/>
        <w:ind w:firstLine="420" w:firstLineChars="200"/>
        <w:rPr>
          <w:rFonts w:hint="eastAsia" w:ascii="仿宋" w:hAnsi="仿宋" w:eastAsia="仿宋" w:cs="仿宋"/>
          <w:bCs/>
          <w:color w:val="auto"/>
          <w:szCs w:val="21"/>
          <w:highlight w:val="none"/>
          <w:u w:val="single"/>
        </w:rPr>
      </w:pPr>
      <w:r>
        <w:rPr>
          <w:rFonts w:hint="eastAsia" w:ascii="仿宋" w:hAnsi="仿宋" w:eastAsia="仿宋" w:cs="仿宋"/>
          <w:color w:val="auto"/>
          <w:szCs w:val="21"/>
          <w:highlight w:val="none"/>
        </w:rPr>
        <w:t>地点：海城市公共资源交易中心开标一室（海城市西柳镇东柳村71号）（辽宁政府采购网同步提交）</w:t>
      </w:r>
    </w:p>
    <w:p>
      <w:pPr>
        <w:adjustRightInd w:val="0"/>
        <w:snapToGrid w:val="0"/>
        <w:spacing w:line="360" w:lineRule="auto"/>
        <w:rPr>
          <w:rFonts w:hint="eastAsia" w:ascii="仿宋" w:hAnsi="仿宋" w:eastAsia="仿宋" w:cs="仿宋"/>
          <w:b/>
          <w:bCs/>
          <w:color w:val="auto"/>
          <w:szCs w:val="21"/>
          <w:highlight w:val="none"/>
        </w:rPr>
      </w:pPr>
      <w:bookmarkStart w:id="19" w:name="_Toc28359007"/>
      <w:bookmarkStart w:id="20" w:name="_Toc35393625"/>
      <w:bookmarkStart w:id="21" w:name="_Toc35393794"/>
      <w:bookmarkStart w:id="22" w:name="_Toc28359084"/>
      <w:r>
        <w:rPr>
          <w:rFonts w:hint="eastAsia" w:ascii="仿宋" w:hAnsi="仿宋" w:eastAsia="仿宋" w:cs="仿宋"/>
          <w:b/>
          <w:bCs/>
          <w:color w:val="auto"/>
          <w:szCs w:val="21"/>
          <w:highlight w:val="none"/>
        </w:rPr>
        <w:t>六、公告期限</w:t>
      </w:r>
      <w:bookmarkEnd w:id="19"/>
      <w:bookmarkEnd w:id="20"/>
      <w:bookmarkEnd w:id="21"/>
      <w:bookmarkEnd w:id="22"/>
    </w:p>
    <w:p>
      <w:pPr>
        <w:adjustRightInd w:val="0"/>
        <w:snapToGrid w:val="0"/>
        <w:spacing w:line="360" w:lineRule="auto"/>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自本公告发布之日起5个工作日。</w:t>
      </w:r>
    </w:p>
    <w:p>
      <w:pPr>
        <w:keepNext/>
        <w:keepLines/>
        <w:adjustRightInd w:val="0"/>
        <w:snapToGrid w:val="0"/>
        <w:spacing w:line="360" w:lineRule="auto"/>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七、质疑与投诉</w:t>
      </w:r>
    </w:p>
    <w:p>
      <w:pPr>
        <w:widowControl/>
        <w:adjustRightInd w:val="0"/>
        <w:snapToGrid w:val="0"/>
        <w:spacing w:line="360" w:lineRule="auto"/>
        <w:ind w:firstLine="539"/>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供应商认为自己的权益受到损害的，可以在知道或者应知其权益受到损害之日起七个工作日内，向采购代理机构或采购人提出质疑。</w:t>
      </w:r>
    </w:p>
    <w:p>
      <w:pPr>
        <w:widowControl/>
        <w:adjustRightInd w:val="0"/>
        <w:snapToGrid w:val="0"/>
        <w:spacing w:line="360" w:lineRule="auto"/>
        <w:ind w:firstLine="480"/>
        <w:jc w:val="left"/>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1、接收质疑函方式：</w:t>
      </w:r>
      <w:r>
        <w:rPr>
          <w:rFonts w:hint="eastAsia" w:ascii="仿宋" w:hAnsi="仿宋" w:eastAsia="仿宋" w:cs="仿宋"/>
          <w:color w:val="auto"/>
          <w:szCs w:val="21"/>
          <w:highlight w:val="none"/>
          <w:lang w:eastAsia="zh-CN"/>
        </w:rPr>
        <w:t>线上或书面纸质质疑函</w:t>
      </w:r>
    </w:p>
    <w:p>
      <w:pPr>
        <w:widowControl/>
        <w:adjustRightInd w:val="0"/>
        <w:snapToGrid w:val="0"/>
        <w:spacing w:line="360" w:lineRule="auto"/>
        <w:ind w:firstLine="48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2、质疑函内容、格式：应符合《政府采购质疑和投诉办法》相关规定和财政部制定的《政府采购质疑函范本》格式，详见辽宁政府采购网。</w:t>
      </w:r>
    </w:p>
    <w:p>
      <w:pPr>
        <w:widowControl/>
        <w:adjustRightInd w:val="0"/>
        <w:snapToGrid w:val="0"/>
        <w:spacing w:line="360" w:lineRule="auto"/>
        <w:ind w:firstLine="48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质疑供应商对采购人、采购代理机构的答复不满意，或者采购人、采购代理机构未在规定时间内作出答复的，可以在答复期满后15个工作日内向本级财政部门提起投诉。</w:t>
      </w:r>
    </w:p>
    <w:p>
      <w:pPr>
        <w:adjustRightInd w:val="0"/>
        <w:snapToGrid w:val="0"/>
        <w:spacing w:line="360" w:lineRule="auto"/>
        <w:rPr>
          <w:rFonts w:hint="eastAsia" w:ascii="仿宋" w:hAnsi="仿宋" w:eastAsia="仿宋" w:cs="仿宋"/>
          <w:b/>
          <w:bCs/>
          <w:color w:val="auto"/>
          <w:szCs w:val="21"/>
          <w:highlight w:val="none"/>
        </w:rPr>
      </w:pPr>
      <w:bookmarkStart w:id="23" w:name="_Toc35393626"/>
      <w:bookmarkStart w:id="24" w:name="_Toc35393795"/>
      <w:r>
        <w:rPr>
          <w:rFonts w:hint="eastAsia" w:ascii="仿宋" w:hAnsi="仿宋" w:eastAsia="仿宋" w:cs="仿宋"/>
          <w:b/>
          <w:bCs/>
          <w:color w:val="auto"/>
          <w:szCs w:val="21"/>
          <w:highlight w:val="none"/>
        </w:rPr>
        <w:t>八、其他补充事宜</w:t>
      </w:r>
      <w:bookmarkEnd w:id="23"/>
      <w:bookmarkEnd w:id="24"/>
    </w:p>
    <w:p>
      <w:pPr>
        <w:pStyle w:val="26"/>
        <w:adjustRightInd w:val="0"/>
        <w:snapToGrid w:val="0"/>
        <w:spacing w:line="360" w:lineRule="auto"/>
        <w:rPr>
          <w:rFonts w:hint="eastAsia" w:ascii="仿宋" w:hAnsi="仿宋" w:cs="仿宋"/>
          <w:color w:val="auto"/>
          <w:szCs w:val="21"/>
          <w:highlight w:val="none"/>
        </w:rPr>
      </w:pPr>
      <w:r>
        <w:rPr>
          <w:rFonts w:hint="eastAsia" w:ascii="仿宋" w:hAnsi="仿宋" w:cs="仿宋"/>
          <w:color w:val="auto"/>
          <w:szCs w:val="21"/>
          <w:highlight w:val="none"/>
        </w:rPr>
        <w:t>1、根据《关于完善政府采购电子评审业务流程等有关事宜的通知》辽财采〔2021〕363号等相关文件规定，为贯彻落实深化政府采购制度改革要求，加快推进全省“互联网+政府采购”工作，本项目为辽宁省政府采购电子招投标项目。参加本次政府采购活动的供应商，请详阅辽宁政府采购网“首页-办事指南”中公布的“辽宁政府采购网关于办理CA数字证书的操作手册”和“辽宁政府采购网新版系统供应商操作手册”，自行办理政府采购CA数字证书并学习电子投标（响应）文件制作教程，有任何技术问题可拨打网站客服“400”电话或“业务咨询电话”进行咨询：400-128-8588，CA办理问题请咨询CA认证机构。供应商因自身操作问题导致的一切不良后果由供应商自身负责。</w:t>
      </w:r>
    </w:p>
    <w:p>
      <w:pPr>
        <w:pStyle w:val="26"/>
        <w:adjustRightInd w:val="0"/>
        <w:snapToGrid w:val="0"/>
        <w:spacing w:line="360" w:lineRule="auto"/>
        <w:rPr>
          <w:rFonts w:hint="eastAsia" w:ascii="仿宋" w:hAnsi="仿宋" w:cs="仿宋"/>
          <w:color w:val="auto"/>
          <w:szCs w:val="21"/>
          <w:highlight w:val="none"/>
        </w:rPr>
      </w:pPr>
      <w:r>
        <w:rPr>
          <w:rFonts w:hint="eastAsia" w:ascii="仿宋" w:hAnsi="仿宋" w:cs="仿宋"/>
          <w:color w:val="auto"/>
          <w:szCs w:val="21"/>
          <w:highlight w:val="none"/>
        </w:rPr>
        <w:t>2、供应商除在电子评审系统上传投标（响应）文件外，应在递交投标（响应）文件截止时间前提交加密备份文件，并承诺备份文件与电子评审系统中上传的投标（响应）文件内容、格式一致（承诺书按照采购文件中给定格式提供），以备系统突发故障使用。供应商仅提交备份文件的，投标（响应）无效。</w:t>
      </w:r>
    </w:p>
    <w:p>
      <w:pPr>
        <w:pStyle w:val="26"/>
        <w:adjustRightInd w:val="0"/>
        <w:snapToGrid w:val="0"/>
        <w:spacing w:line="360" w:lineRule="auto"/>
        <w:rPr>
          <w:rFonts w:hint="eastAsia" w:ascii="仿宋" w:hAnsi="仿宋" w:cs="仿宋"/>
          <w:color w:val="auto"/>
          <w:szCs w:val="21"/>
          <w:highlight w:val="none"/>
        </w:rPr>
      </w:pPr>
      <w:r>
        <w:rPr>
          <w:rFonts w:hint="eastAsia" w:ascii="仿宋" w:hAnsi="仿宋" w:cs="仿宋"/>
          <w:color w:val="auto"/>
          <w:szCs w:val="21"/>
          <w:highlight w:val="none"/>
        </w:rPr>
        <w:t>3、供应商在电子评审活动中出现以下情形的，应按如下规定进行处理：</w:t>
      </w:r>
    </w:p>
    <w:p>
      <w:pPr>
        <w:pStyle w:val="26"/>
        <w:adjustRightInd w:val="0"/>
        <w:snapToGrid w:val="0"/>
        <w:spacing w:line="360" w:lineRule="auto"/>
        <w:rPr>
          <w:rFonts w:hint="eastAsia" w:ascii="仿宋" w:hAnsi="仿宋" w:cs="仿宋"/>
          <w:color w:val="auto"/>
          <w:szCs w:val="21"/>
          <w:highlight w:val="none"/>
        </w:rPr>
      </w:pPr>
      <w:r>
        <w:rPr>
          <w:rFonts w:hint="eastAsia" w:ascii="仿宋" w:hAnsi="仿宋" w:cs="仿宋"/>
          <w:color w:val="auto"/>
          <w:szCs w:val="21"/>
          <w:highlight w:val="none"/>
        </w:rPr>
        <w:t>（1）因供应商原因造成响应文件未解密的；</w:t>
      </w:r>
    </w:p>
    <w:p>
      <w:pPr>
        <w:pStyle w:val="26"/>
        <w:adjustRightInd w:val="0"/>
        <w:snapToGrid w:val="0"/>
        <w:spacing w:line="360" w:lineRule="auto"/>
        <w:rPr>
          <w:rFonts w:hint="eastAsia" w:ascii="仿宋" w:hAnsi="仿宋" w:cs="仿宋"/>
          <w:color w:val="auto"/>
          <w:szCs w:val="21"/>
          <w:highlight w:val="none"/>
        </w:rPr>
      </w:pPr>
      <w:r>
        <w:rPr>
          <w:rFonts w:hint="eastAsia" w:ascii="仿宋" w:hAnsi="仿宋" w:cs="仿宋"/>
          <w:color w:val="auto"/>
          <w:szCs w:val="21"/>
          <w:highlight w:val="none"/>
        </w:rPr>
        <w:t>（2）因供应商自用设备原因造成的未在规定时间内解密、上传文件或响应报价等问题影响电子评审的；</w:t>
      </w:r>
    </w:p>
    <w:p>
      <w:pPr>
        <w:pStyle w:val="26"/>
        <w:adjustRightInd w:val="0"/>
        <w:snapToGrid w:val="0"/>
        <w:spacing w:line="360" w:lineRule="auto"/>
        <w:rPr>
          <w:rFonts w:hint="eastAsia" w:ascii="仿宋" w:hAnsi="仿宋" w:cs="仿宋"/>
          <w:color w:val="auto"/>
          <w:szCs w:val="21"/>
          <w:highlight w:val="none"/>
        </w:rPr>
      </w:pPr>
      <w:r>
        <w:rPr>
          <w:rFonts w:hint="eastAsia" w:ascii="仿宋" w:hAnsi="仿宋" w:cs="仿宋"/>
          <w:color w:val="auto"/>
          <w:szCs w:val="21"/>
          <w:highlight w:val="none"/>
        </w:rPr>
        <w:t>（3）因供应商原因未对文件校验造成信息缺失、文件内容或格式不正确以及备份文件不符合要求等问题影响评审的。</w:t>
      </w:r>
    </w:p>
    <w:p>
      <w:pPr>
        <w:pStyle w:val="26"/>
        <w:adjustRightInd w:val="0"/>
        <w:snapToGrid w:val="0"/>
        <w:spacing w:line="360" w:lineRule="auto"/>
        <w:rPr>
          <w:rFonts w:hint="eastAsia" w:ascii="仿宋" w:hAnsi="仿宋" w:cs="仿宋"/>
          <w:color w:val="auto"/>
          <w:szCs w:val="21"/>
          <w:highlight w:val="none"/>
        </w:rPr>
      </w:pPr>
      <w:r>
        <w:rPr>
          <w:rFonts w:hint="eastAsia" w:ascii="仿宋" w:hAnsi="仿宋" w:cs="仿宋"/>
          <w:color w:val="auto"/>
          <w:szCs w:val="21"/>
          <w:highlight w:val="none"/>
        </w:rPr>
        <w:t>出现前款（1）（2）情形的，视为放弃响应；出现前款（3）情形的，由供应商自行承担相应责任。</w:t>
      </w:r>
    </w:p>
    <w:p>
      <w:pPr>
        <w:pStyle w:val="26"/>
        <w:adjustRightInd w:val="0"/>
        <w:snapToGrid w:val="0"/>
        <w:spacing w:line="360" w:lineRule="auto"/>
        <w:rPr>
          <w:rFonts w:hint="eastAsia" w:ascii="仿宋" w:hAnsi="仿宋" w:cs="仿宋"/>
          <w:color w:val="auto"/>
          <w:szCs w:val="21"/>
          <w:highlight w:val="none"/>
        </w:rPr>
      </w:pPr>
      <w:r>
        <w:rPr>
          <w:rFonts w:hint="eastAsia" w:ascii="仿宋" w:hAnsi="仿宋" w:cs="仿宋"/>
          <w:color w:val="auto"/>
          <w:szCs w:val="21"/>
          <w:highlight w:val="none"/>
        </w:rPr>
        <w:t>本项目供应商可到现场参加开标会议也可以在线参加腾讯视频会议，参与开标及投标文件解密供应商应在开标后采用线上解密的方式解密电子文件（到现场参与开标会议的供应商自行准备投标解密所需电脑以及CA认证等设备），解密时限为30分钟，不接受其他方式解密，因解密超时而造成供应商投标(响应)失败，责任由供应商自行承担。开标当日应保证法定代表人或授权委托人通讯畅通，评审答疑采用远程答疑（座机电话开免提方式），评标（评审）结果详见采购结果公告。</w:t>
      </w:r>
    </w:p>
    <w:p>
      <w:pPr>
        <w:pStyle w:val="26"/>
        <w:adjustRightInd w:val="0"/>
        <w:snapToGrid w:val="0"/>
        <w:spacing w:line="360" w:lineRule="auto"/>
        <w:rPr>
          <w:rFonts w:hint="eastAsia" w:ascii="仿宋" w:hAnsi="仿宋" w:cs="仿宋"/>
          <w:color w:val="auto"/>
          <w:szCs w:val="21"/>
          <w:highlight w:val="none"/>
        </w:rPr>
      </w:pPr>
      <w:r>
        <w:rPr>
          <w:rFonts w:hint="eastAsia" w:ascii="仿宋" w:hAnsi="仿宋" w:cs="仿宋"/>
          <w:color w:val="auto"/>
          <w:szCs w:val="21"/>
          <w:highlight w:val="none"/>
        </w:rPr>
        <w:t>参与开标的供应商可以使用“腾讯会议”APP参加视频会议，法定代表人或其委托代理人须提前下载并进行注册，参加开标会议时登陆“腾讯会议”APP，输入“会议号”参加开标会议,进入会议后把用户名修改为供应商名称。供应商未按时参加参加视频会议且未到现场开标，造成投标（响应）失败，责任由供应商自行承担。（对于未参加网上开标会议且未到现场开标的投标人视为默认认同开、评标的程序）。腾讯会议会议号详见采购文件“第一章 投标人须知表”。</w:t>
      </w:r>
    </w:p>
    <w:p>
      <w:pPr>
        <w:pStyle w:val="26"/>
        <w:adjustRightInd w:val="0"/>
        <w:snapToGrid w:val="0"/>
        <w:spacing w:line="360" w:lineRule="auto"/>
        <w:rPr>
          <w:rFonts w:hint="eastAsia" w:ascii="仿宋" w:hAnsi="仿宋" w:eastAsia="仿宋" w:cs="仿宋"/>
          <w:color w:val="auto"/>
          <w:szCs w:val="21"/>
          <w:highlight w:val="none"/>
        </w:rPr>
      </w:pPr>
      <w:r>
        <w:rPr>
          <w:rFonts w:hint="eastAsia" w:ascii="仿宋" w:hAnsi="仿宋" w:cs="仿宋"/>
          <w:color w:val="auto"/>
          <w:szCs w:val="21"/>
          <w:highlight w:val="none"/>
        </w:rPr>
        <w:t>本公告在辽宁政府采购网、海城市公共资源交易网同时发布，如不一致，以辽宁政府采购网为准。请下载采购文件的供应商自行关注相关公示信息，代理机构不再对更正信息等其他信息进行通知，关于本项目的信息以网上发布的信息为准，如供应商未及时获取信息，后果自负。</w:t>
      </w:r>
    </w:p>
    <w:p>
      <w:pPr>
        <w:adjustRightInd w:val="0"/>
        <w:snapToGrid w:val="0"/>
        <w:spacing w:line="360" w:lineRule="auto"/>
        <w:rPr>
          <w:rFonts w:hint="eastAsia" w:ascii="仿宋" w:hAnsi="仿宋" w:eastAsia="仿宋" w:cs="仿宋"/>
          <w:b/>
          <w:bCs/>
          <w:color w:val="auto"/>
          <w:szCs w:val="21"/>
          <w:highlight w:val="none"/>
        </w:rPr>
      </w:pPr>
      <w:bookmarkStart w:id="25" w:name="_Toc28359085"/>
      <w:bookmarkStart w:id="26" w:name="_Toc28359008"/>
      <w:bookmarkStart w:id="27" w:name="_Toc35393627"/>
      <w:bookmarkStart w:id="28" w:name="_Toc35393796"/>
      <w:r>
        <w:rPr>
          <w:rFonts w:hint="eastAsia" w:ascii="仿宋" w:hAnsi="仿宋" w:eastAsia="仿宋" w:cs="仿宋"/>
          <w:b/>
          <w:bCs/>
          <w:color w:val="auto"/>
          <w:szCs w:val="21"/>
          <w:highlight w:val="none"/>
        </w:rPr>
        <w:t>九、对本次招标提出询问，请按以下方式联系。</w:t>
      </w:r>
      <w:bookmarkEnd w:id="25"/>
      <w:bookmarkEnd w:id="26"/>
      <w:bookmarkEnd w:id="27"/>
      <w:bookmarkEnd w:id="28"/>
    </w:p>
    <w:p>
      <w:pPr>
        <w:adjustRightInd w:val="0"/>
        <w:snapToGrid w:val="0"/>
        <w:spacing w:line="360" w:lineRule="auto"/>
        <w:ind w:firstLine="420" w:firstLineChars="200"/>
        <w:rPr>
          <w:rFonts w:hint="eastAsia" w:ascii="仿宋" w:hAnsi="仿宋" w:cs="仿宋"/>
          <w:color w:val="auto"/>
          <w:szCs w:val="21"/>
          <w:highlight w:val="none"/>
        </w:rPr>
      </w:pPr>
      <w:r>
        <w:rPr>
          <w:rFonts w:hint="eastAsia" w:ascii="仿宋" w:hAnsi="仿宋" w:cs="仿宋"/>
          <w:color w:val="auto"/>
          <w:szCs w:val="21"/>
          <w:highlight w:val="none"/>
        </w:rPr>
        <w:t>1.采购人信息</w:t>
      </w:r>
    </w:p>
    <w:p>
      <w:pPr>
        <w:widowControl/>
        <w:adjustRightInd w:val="0"/>
        <w:snapToGrid w:val="0"/>
        <w:spacing w:line="360" w:lineRule="auto"/>
        <w:ind w:firstLine="420" w:firstLineChars="200"/>
        <w:jc w:val="left"/>
        <w:rPr>
          <w:rFonts w:hint="eastAsia" w:ascii="仿宋" w:hAnsi="仿宋" w:cs="仿宋"/>
          <w:color w:val="auto"/>
          <w:kern w:val="0"/>
          <w:szCs w:val="21"/>
          <w:highlight w:val="none"/>
        </w:rPr>
      </w:pPr>
      <w:r>
        <w:rPr>
          <w:rFonts w:hint="eastAsia" w:ascii="仿宋" w:hAnsi="仿宋" w:cs="仿宋"/>
          <w:color w:val="auto"/>
          <w:kern w:val="0"/>
          <w:szCs w:val="21"/>
          <w:highlight w:val="none"/>
        </w:rPr>
        <w:t>名称：海城市农业农村局</w:t>
      </w:r>
    </w:p>
    <w:p>
      <w:pPr>
        <w:widowControl/>
        <w:adjustRightInd w:val="0"/>
        <w:snapToGrid w:val="0"/>
        <w:spacing w:line="360" w:lineRule="auto"/>
        <w:ind w:firstLine="420" w:firstLineChars="200"/>
        <w:jc w:val="left"/>
        <w:rPr>
          <w:rFonts w:hint="eastAsia" w:ascii="仿宋" w:hAnsi="仿宋" w:cs="仿宋"/>
          <w:color w:val="auto"/>
          <w:kern w:val="0"/>
          <w:szCs w:val="21"/>
          <w:highlight w:val="none"/>
        </w:rPr>
      </w:pPr>
      <w:r>
        <w:rPr>
          <w:rFonts w:hint="eastAsia" w:ascii="仿宋" w:hAnsi="仿宋" w:cs="仿宋"/>
          <w:color w:val="auto"/>
          <w:kern w:val="0"/>
          <w:szCs w:val="21"/>
          <w:highlight w:val="none"/>
        </w:rPr>
        <w:t>地址：鞍山市海城市环城西路21号</w:t>
      </w:r>
    </w:p>
    <w:p>
      <w:pPr>
        <w:widowControl/>
        <w:adjustRightInd w:val="0"/>
        <w:snapToGrid w:val="0"/>
        <w:spacing w:line="360" w:lineRule="auto"/>
        <w:ind w:firstLine="420" w:firstLineChars="200"/>
        <w:jc w:val="left"/>
        <w:rPr>
          <w:rFonts w:hint="eastAsia" w:ascii="仿宋" w:hAnsi="仿宋" w:cs="仿宋"/>
          <w:color w:val="auto"/>
          <w:kern w:val="0"/>
          <w:szCs w:val="21"/>
          <w:highlight w:val="none"/>
        </w:rPr>
      </w:pPr>
      <w:r>
        <w:rPr>
          <w:rFonts w:hint="eastAsia" w:ascii="仿宋" w:hAnsi="仿宋" w:cs="仿宋"/>
          <w:color w:val="auto"/>
          <w:kern w:val="0"/>
          <w:szCs w:val="21"/>
          <w:highlight w:val="none"/>
        </w:rPr>
        <w:t>联系方式：0412-3226589</w:t>
      </w:r>
    </w:p>
    <w:p>
      <w:pPr>
        <w:adjustRightInd w:val="0"/>
        <w:snapToGrid w:val="0"/>
        <w:spacing w:line="360" w:lineRule="auto"/>
        <w:ind w:firstLine="420" w:firstLineChars="200"/>
        <w:rPr>
          <w:rFonts w:hint="eastAsia" w:ascii="仿宋" w:hAnsi="仿宋" w:cs="仿宋"/>
          <w:color w:val="auto"/>
          <w:szCs w:val="21"/>
          <w:highlight w:val="none"/>
        </w:rPr>
      </w:pPr>
      <w:r>
        <w:rPr>
          <w:rFonts w:hint="eastAsia" w:ascii="仿宋" w:hAnsi="仿宋" w:cs="仿宋"/>
          <w:color w:val="auto"/>
          <w:szCs w:val="21"/>
          <w:highlight w:val="none"/>
        </w:rPr>
        <w:t>2.采购代理机构信息：</w:t>
      </w:r>
    </w:p>
    <w:p>
      <w:pPr>
        <w:adjustRightInd w:val="0"/>
        <w:snapToGrid w:val="0"/>
        <w:spacing w:line="360" w:lineRule="auto"/>
        <w:ind w:firstLine="420" w:firstLineChars="200"/>
        <w:rPr>
          <w:rFonts w:hint="eastAsia" w:ascii="仿宋" w:hAnsi="仿宋" w:cs="仿宋"/>
          <w:color w:val="auto"/>
          <w:szCs w:val="21"/>
          <w:highlight w:val="none"/>
        </w:rPr>
      </w:pPr>
      <w:r>
        <w:rPr>
          <w:rFonts w:hint="eastAsia" w:ascii="仿宋" w:hAnsi="仿宋" w:cs="仿宋"/>
          <w:color w:val="auto"/>
          <w:szCs w:val="21"/>
          <w:highlight w:val="none"/>
        </w:rPr>
        <w:t>名  称：辽宁合建项目管理咨询有限公司</w:t>
      </w:r>
    </w:p>
    <w:p>
      <w:pPr>
        <w:adjustRightInd w:val="0"/>
        <w:snapToGrid w:val="0"/>
        <w:spacing w:line="360" w:lineRule="auto"/>
        <w:ind w:firstLine="420" w:firstLineChars="200"/>
        <w:rPr>
          <w:rFonts w:hint="eastAsia" w:ascii="仿宋" w:hAnsi="仿宋" w:cs="仿宋"/>
          <w:color w:val="auto"/>
          <w:szCs w:val="21"/>
          <w:highlight w:val="none"/>
        </w:rPr>
      </w:pPr>
      <w:r>
        <w:rPr>
          <w:rFonts w:hint="eastAsia" w:ascii="仿宋" w:hAnsi="仿宋" w:cs="仿宋"/>
          <w:color w:val="auto"/>
          <w:szCs w:val="21"/>
          <w:highlight w:val="none"/>
        </w:rPr>
        <w:t>地  址：沈阳市和平区青年大街386号华阳国际大厦2252室</w:t>
      </w:r>
    </w:p>
    <w:p>
      <w:pPr>
        <w:adjustRightInd w:val="0"/>
        <w:snapToGrid w:val="0"/>
        <w:spacing w:line="360" w:lineRule="auto"/>
        <w:ind w:firstLine="420" w:firstLineChars="200"/>
        <w:rPr>
          <w:rFonts w:hint="eastAsia" w:ascii="仿宋" w:hAnsi="仿宋" w:cs="仿宋"/>
          <w:color w:val="auto"/>
          <w:szCs w:val="21"/>
          <w:highlight w:val="none"/>
        </w:rPr>
      </w:pPr>
      <w:r>
        <w:rPr>
          <w:rFonts w:hint="eastAsia" w:ascii="仿宋" w:hAnsi="仿宋" w:cs="仿宋"/>
          <w:color w:val="auto"/>
          <w:szCs w:val="21"/>
          <w:highlight w:val="none"/>
        </w:rPr>
        <w:t>联系方式：024-23180489-0</w:t>
      </w:r>
    </w:p>
    <w:p>
      <w:pPr>
        <w:adjustRightInd w:val="0"/>
        <w:snapToGrid w:val="0"/>
        <w:spacing w:line="360" w:lineRule="auto"/>
        <w:ind w:firstLine="420" w:firstLineChars="200"/>
        <w:rPr>
          <w:rFonts w:hint="eastAsia" w:ascii="仿宋" w:hAnsi="仿宋" w:cs="仿宋"/>
          <w:color w:val="auto"/>
          <w:szCs w:val="21"/>
          <w:highlight w:val="none"/>
        </w:rPr>
      </w:pPr>
      <w:r>
        <w:rPr>
          <w:rFonts w:hint="eastAsia" w:ascii="仿宋" w:hAnsi="仿宋" w:cs="仿宋"/>
          <w:color w:val="auto"/>
          <w:szCs w:val="21"/>
          <w:highlight w:val="none"/>
        </w:rPr>
        <w:t>邮箱地址：954978974@qq.com</w:t>
      </w:r>
    </w:p>
    <w:p>
      <w:pPr>
        <w:adjustRightInd w:val="0"/>
        <w:snapToGrid w:val="0"/>
        <w:spacing w:line="360" w:lineRule="auto"/>
        <w:ind w:firstLine="420" w:firstLineChars="200"/>
        <w:rPr>
          <w:rFonts w:hint="eastAsia" w:ascii="仿宋" w:hAnsi="仿宋" w:cs="仿宋"/>
          <w:color w:val="auto"/>
          <w:szCs w:val="21"/>
          <w:highlight w:val="none"/>
        </w:rPr>
      </w:pPr>
      <w:r>
        <w:rPr>
          <w:rFonts w:hint="eastAsia" w:ascii="仿宋" w:hAnsi="仿宋" w:cs="仿宋"/>
          <w:color w:val="auto"/>
          <w:szCs w:val="21"/>
          <w:highlight w:val="none"/>
        </w:rPr>
        <w:t>开户行：招商银行沈阳分行新世界支行</w:t>
      </w:r>
    </w:p>
    <w:p>
      <w:pPr>
        <w:adjustRightInd w:val="0"/>
        <w:snapToGrid w:val="0"/>
        <w:spacing w:line="360" w:lineRule="auto"/>
        <w:ind w:firstLine="420" w:firstLineChars="200"/>
        <w:rPr>
          <w:rFonts w:hint="eastAsia" w:ascii="仿宋" w:hAnsi="仿宋" w:cs="仿宋"/>
          <w:color w:val="auto"/>
          <w:szCs w:val="21"/>
          <w:highlight w:val="none"/>
        </w:rPr>
      </w:pPr>
      <w:r>
        <w:rPr>
          <w:rFonts w:hint="eastAsia" w:ascii="仿宋" w:hAnsi="仿宋" w:cs="仿宋"/>
          <w:color w:val="auto"/>
          <w:szCs w:val="21"/>
          <w:highlight w:val="none"/>
        </w:rPr>
        <w:t>账户名称：辽宁合建项目管理咨询有限公司</w:t>
      </w:r>
    </w:p>
    <w:p>
      <w:pPr>
        <w:adjustRightInd w:val="0"/>
        <w:snapToGrid w:val="0"/>
        <w:spacing w:line="360" w:lineRule="auto"/>
        <w:ind w:firstLine="420" w:firstLineChars="200"/>
        <w:rPr>
          <w:rFonts w:hint="eastAsia" w:ascii="仿宋" w:hAnsi="仿宋" w:cs="仿宋"/>
          <w:color w:val="auto"/>
          <w:szCs w:val="21"/>
          <w:highlight w:val="none"/>
        </w:rPr>
      </w:pPr>
      <w:r>
        <w:rPr>
          <w:rFonts w:hint="eastAsia" w:ascii="仿宋" w:hAnsi="仿宋" w:cs="仿宋"/>
          <w:color w:val="auto"/>
          <w:szCs w:val="21"/>
          <w:highlight w:val="none"/>
        </w:rPr>
        <w:t>账号：124905858910607</w:t>
      </w:r>
    </w:p>
    <w:p>
      <w:pPr>
        <w:adjustRightInd w:val="0"/>
        <w:snapToGrid w:val="0"/>
        <w:spacing w:line="360" w:lineRule="auto"/>
        <w:ind w:firstLine="420" w:firstLineChars="200"/>
        <w:rPr>
          <w:rFonts w:hint="eastAsia" w:ascii="仿宋" w:hAnsi="仿宋" w:cs="仿宋"/>
          <w:color w:val="auto"/>
          <w:szCs w:val="21"/>
          <w:highlight w:val="none"/>
        </w:rPr>
      </w:pPr>
      <w:r>
        <w:rPr>
          <w:rFonts w:hint="eastAsia" w:ascii="仿宋" w:hAnsi="仿宋" w:cs="仿宋"/>
          <w:color w:val="auto"/>
          <w:szCs w:val="21"/>
          <w:highlight w:val="none"/>
        </w:rPr>
        <w:t>3.项目联系方式</w:t>
      </w:r>
    </w:p>
    <w:p>
      <w:pPr>
        <w:adjustRightInd w:val="0"/>
        <w:snapToGrid w:val="0"/>
        <w:spacing w:line="360" w:lineRule="auto"/>
        <w:ind w:firstLine="420" w:firstLineChars="200"/>
        <w:rPr>
          <w:rFonts w:hint="eastAsia" w:ascii="仿宋" w:hAnsi="仿宋" w:cs="仿宋"/>
          <w:color w:val="auto"/>
          <w:szCs w:val="21"/>
          <w:highlight w:val="none"/>
        </w:rPr>
      </w:pPr>
      <w:r>
        <w:rPr>
          <w:rFonts w:hint="eastAsia" w:ascii="仿宋" w:hAnsi="仿宋" w:cs="仿宋"/>
          <w:color w:val="auto"/>
          <w:szCs w:val="21"/>
          <w:highlight w:val="none"/>
        </w:rPr>
        <w:t>项目联系人：任洪建、刘峻佐</w:t>
      </w:r>
    </w:p>
    <w:p>
      <w:pPr>
        <w:adjustRightInd w:val="0"/>
        <w:snapToGrid w:val="0"/>
        <w:spacing w:line="360" w:lineRule="auto"/>
        <w:ind w:firstLine="420" w:firstLineChars="200"/>
        <w:rPr>
          <w:rFonts w:hint="eastAsia" w:ascii="仿宋" w:hAnsi="仿宋" w:cs="仿宋"/>
          <w:color w:val="auto"/>
          <w:szCs w:val="21"/>
          <w:highlight w:val="none"/>
        </w:rPr>
      </w:pPr>
      <w:r>
        <w:rPr>
          <w:rFonts w:hint="eastAsia" w:ascii="仿宋" w:hAnsi="仿宋" w:cs="仿宋"/>
          <w:color w:val="auto"/>
          <w:szCs w:val="21"/>
          <w:highlight w:val="none"/>
        </w:rPr>
        <w:t>电  话：024-23180489-0</w:t>
      </w:r>
    </w:p>
    <w:p>
      <w:pPr>
        <w:rPr>
          <w:rFonts w:hint="eastAsia" w:ascii="仿宋" w:hAnsi="仿宋" w:eastAsia="仿宋" w:cs="仿宋"/>
          <w:color w:val="auto"/>
          <w:highlight w:val="none"/>
        </w:rPr>
      </w:pPr>
    </w:p>
    <w:p>
      <w:pPr>
        <w:pStyle w:val="2"/>
        <w:snapToGrid w:val="0"/>
        <w:spacing w:before="312" w:beforeLines="100" w:after="312" w:afterLines="100" w:line="360" w:lineRule="auto"/>
        <w:rPr>
          <w:rFonts w:hint="eastAsia" w:ascii="仿宋" w:hAnsi="仿宋" w:eastAsia="仿宋" w:cs="仿宋"/>
          <w:color w:val="auto"/>
          <w:highlight w:val="none"/>
        </w:rPr>
      </w:pPr>
      <w:bookmarkStart w:id="29" w:name="_Toc26518_WPSOffice_Level1"/>
      <w:bookmarkStart w:id="30" w:name="_Toc9614"/>
      <w:r>
        <w:rPr>
          <w:rFonts w:hint="eastAsia" w:ascii="仿宋" w:hAnsi="仿宋" w:eastAsia="仿宋" w:cs="仿宋"/>
          <w:color w:val="auto"/>
          <w:highlight w:val="none"/>
        </w:rPr>
        <w:br w:type="page"/>
      </w:r>
      <w:r>
        <w:rPr>
          <w:rFonts w:hint="eastAsia" w:ascii="仿宋" w:hAnsi="仿宋" w:eastAsia="仿宋" w:cs="仿宋"/>
          <w:color w:val="auto"/>
          <w:highlight w:val="none"/>
        </w:rPr>
        <w:t>第一章 投标人须知</w:t>
      </w:r>
      <w:bookmarkEnd w:id="29"/>
      <w:bookmarkEnd w:id="30"/>
    </w:p>
    <w:p>
      <w:pPr>
        <w:pStyle w:val="3"/>
        <w:adjustRightInd w:val="0"/>
        <w:snapToGrid w:val="0"/>
        <w:spacing w:before="0" w:after="0" w:line="360" w:lineRule="auto"/>
        <w:rPr>
          <w:rFonts w:hint="eastAsia" w:ascii="仿宋" w:hAnsi="仿宋" w:eastAsia="仿宋" w:cs="仿宋"/>
          <w:color w:val="auto"/>
          <w:sz w:val="32"/>
          <w:szCs w:val="36"/>
          <w:highlight w:val="none"/>
        </w:rPr>
      </w:pPr>
      <w:bookmarkStart w:id="31" w:name="_Toc18613_WPSOffice_Level2"/>
      <w:r>
        <w:rPr>
          <w:rFonts w:hint="eastAsia" w:ascii="仿宋" w:hAnsi="仿宋" w:eastAsia="仿宋" w:cs="仿宋"/>
          <w:color w:val="auto"/>
          <w:sz w:val="32"/>
          <w:szCs w:val="36"/>
          <w:highlight w:val="none"/>
        </w:rPr>
        <w:t>一 投标人须知表</w:t>
      </w:r>
      <w:bookmarkEnd w:id="31"/>
    </w:p>
    <w:tbl>
      <w:tblPr>
        <w:tblStyle w:val="14"/>
        <w:tblW w:w="8656" w:type="dxa"/>
        <w:tblInd w:w="0" w:type="dxa"/>
        <w:tblLayout w:type="fixed"/>
        <w:tblCellMar>
          <w:top w:w="0" w:type="dxa"/>
          <w:left w:w="108" w:type="dxa"/>
          <w:bottom w:w="0" w:type="dxa"/>
          <w:right w:w="108" w:type="dxa"/>
        </w:tblCellMar>
      </w:tblPr>
      <w:tblGrid>
        <w:gridCol w:w="852"/>
        <w:gridCol w:w="1917"/>
        <w:gridCol w:w="5887"/>
      </w:tblGrid>
      <w:tr>
        <w:tblPrEx>
          <w:tblCellMar>
            <w:top w:w="0" w:type="dxa"/>
            <w:left w:w="108" w:type="dxa"/>
            <w:bottom w:w="0" w:type="dxa"/>
            <w:right w:w="108" w:type="dxa"/>
          </w:tblCellMar>
        </w:tblPrEx>
        <w:trPr>
          <w:trHeight w:val="497" w:hRule="atLeast"/>
          <w:tblHeader/>
        </w:trPr>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bookmarkStart w:id="32" w:name="sys_招标项目基本内容及要求：Block"/>
            <w:bookmarkEnd w:id="32"/>
            <w:bookmarkStart w:id="33" w:name="sys_招标项目基本内容及要求其他：Block"/>
            <w:bookmarkEnd w:id="33"/>
            <w:bookmarkStart w:id="34" w:name="招标项目基本内容及要求其他：Block"/>
            <w:bookmarkEnd w:id="34"/>
            <w:bookmarkStart w:id="35" w:name="招标项目基本内容及要求：Block"/>
            <w:bookmarkEnd w:id="35"/>
            <w:r>
              <w:rPr>
                <w:rFonts w:hint="eastAsia" w:ascii="仿宋" w:hAnsi="仿宋" w:eastAsia="仿宋" w:cs="仿宋"/>
                <w:color w:val="auto"/>
                <w:kern w:val="0"/>
                <w:szCs w:val="21"/>
                <w:highlight w:val="none"/>
              </w:rPr>
              <w:t>条款号</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项   目</w:t>
            </w:r>
          </w:p>
        </w:tc>
        <w:tc>
          <w:tcPr>
            <w:tcW w:w="58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内     容</w:t>
            </w:r>
          </w:p>
        </w:tc>
      </w:tr>
      <w:tr>
        <w:tblPrEx>
          <w:tblCellMar>
            <w:top w:w="0" w:type="dxa"/>
            <w:left w:w="108" w:type="dxa"/>
            <w:bottom w:w="0" w:type="dxa"/>
            <w:right w:w="108" w:type="dxa"/>
          </w:tblCellMar>
        </w:tblPrEx>
        <w:trPr>
          <w:trHeight w:val="1252"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1.1</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采购人</w:t>
            </w:r>
          </w:p>
        </w:tc>
        <w:tc>
          <w:tcPr>
            <w:tcW w:w="588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cs="仿宋"/>
                <w:color w:val="auto"/>
                <w:kern w:val="0"/>
                <w:szCs w:val="21"/>
                <w:highlight w:val="none"/>
                <w:u w:val="single"/>
              </w:rPr>
            </w:pPr>
            <w:r>
              <w:rPr>
                <w:rFonts w:hint="eastAsia" w:ascii="仿宋" w:hAnsi="仿宋" w:cs="仿宋"/>
                <w:color w:val="auto"/>
                <w:kern w:val="0"/>
                <w:szCs w:val="21"/>
                <w:highlight w:val="none"/>
              </w:rPr>
              <w:t>名  称：</w:t>
            </w:r>
            <w:r>
              <w:rPr>
                <w:rFonts w:hint="eastAsia" w:ascii="仿宋" w:hAnsi="仿宋" w:cs="仿宋"/>
                <w:color w:val="auto"/>
                <w:kern w:val="0"/>
                <w:szCs w:val="21"/>
                <w:highlight w:val="none"/>
                <w:u w:val="single"/>
              </w:rPr>
              <w:t>海城市农业农村局</w:t>
            </w:r>
          </w:p>
          <w:p>
            <w:pPr>
              <w:widowControl/>
              <w:jc w:val="left"/>
              <w:rPr>
                <w:rFonts w:hint="eastAsia" w:ascii="仿宋" w:hAnsi="仿宋" w:cs="仿宋"/>
                <w:color w:val="auto"/>
                <w:kern w:val="0"/>
                <w:szCs w:val="21"/>
                <w:highlight w:val="none"/>
                <w:u w:val="single"/>
              </w:rPr>
            </w:pPr>
            <w:r>
              <w:rPr>
                <w:rFonts w:hint="eastAsia" w:ascii="仿宋" w:hAnsi="仿宋" w:cs="仿宋"/>
                <w:color w:val="auto"/>
                <w:kern w:val="0"/>
                <w:szCs w:val="21"/>
                <w:highlight w:val="none"/>
              </w:rPr>
              <w:t>地  址：</w:t>
            </w:r>
            <w:r>
              <w:rPr>
                <w:rFonts w:hint="eastAsia" w:ascii="仿宋" w:hAnsi="仿宋" w:cs="仿宋"/>
                <w:color w:val="auto"/>
                <w:kern w:val="0"/>
                <w:szCs w:val="21"/>
                <w:highlight w:val="none"/>
                <w:u w:val="single"/>
              </w:rPr>
              <w:t>鞍山市海城市环城西路21号</w:t>
            </w:r>
          </w:p>
          <w:p>
            <w:pPr>
              <w:widowControl/>
              <w:jc w:val="left"/>
              <w:rPr>
                <w:rFonts w:hint="eastAsia" w:ascii="仿宋" w:hAnsi="仿宋" w:cs="仿宋"/>
                <w:color w:val="auto"/>
                <w:kern w:val="0"/>
                <w:szCs w:val="21"/>
                <w:highlight w:val="none"/>
                <w:u w:val="single"/>
              </w:rPr>
            </w:pPr>
            <w:r>
              <w:rPr>
                <w:rFonts w:hint="eastAsia" w:ascii="仿宋" w:hAnsi="仿宋" w:cs="仿宋"/>
                <w:color w:val="auto"/>
                <w:kern w:val="0"/>
                <w:szCs w:val="21"/>
                <w:highlight w:val="none"/>
              </w:rPr>
              <w:t>联系人：</w:t>
            </w:r>
            <w:r>
              <w:rPr>
                <w:rFonts w:hint="eastAsia" w:ascii="仿宋" w:hAnsi="仿宋" w:cs="仿宋"/>
                <w:color w:val="auto"/>
                <w:kern w:val="0"/>
                <w:szCs w:val="21"/>
                <w:highlight w:val="none"/>
                <w:u w:val="single"/>
              </w:rPr>
              <w:t>白可</w:t>
            </w:r>
          </w:p>
          <w:p>
            <w:pPr>
              <w:widowControl/>
              <w:jc w:val="left"/>
              <w:rPr>
                <w:rFonts w:hint="eastAsia" w:ascii="仿宋" w:hAnsi="仿宋" w:eastAsia="仿宋" w:cs="仿宋"/>
                <w:color w:val="auto"/>
                <w:kern w:val="0"/>
                <w:szCs w:val="21"/>
                <w:highlight w:val="none"/>
              </w:rPr>
            </w:pPr>
            <w:r>
              <w:rPr>
                <w:rFonts w:hint="eastAsia" w:ascii="仿宋" w:hAnsi="仿宋" w:cs="仿宋"/>
                <w:color w:val="auto"/>
                <w:kern w:val="0"/>
                <w:szCs w:val="21"/>
                <w:highlight w:val="none"/>
              </w:rPr>
              <w:t>电  话：</w:t>
            </w:r>
            <w:r>
              <w:rPr>
                <w:rFonts w:hint="eastAsia" w:ascii="仿宋" w:hAnsi="仿宋" w:cs="仿宋"/>
                <w:color w:val="auto"/>
                <w:kern w:val="0"/>
                <w:szCs w:val="21"/>
                <w:highlight w:val="none"/>
                <w:u w:val="single"/>
              </w:rPr>
              <w:t>0412-3226589</w:t>
            </w:r>
          </w:p>
        </w:tc>
      </w:tr>
      <w:tr>
        <w:tblPrEx>
          <w:tblCellMar>
            <w:top w:w="0" w:type="dxa"/>
            <w:left w:w="108" w:type="dxa"/>
            <w:bottom w:w="0" w:type="dxa"/>
            <w:right w:w="108" w:type="dxa"/>
          </w:tblCellMar>
        </w:tblPrEx>
        <w:trPr>
          <w:trHeight w:val="1252"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1.2</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采购代理机构</w:t>
            </w:r>
          </w:p>
        </w:tc>
        <w:tc>
          <w:tcPr>
            <w:tcW w:w="588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cs="仿宋"/>
                <w:color w:val="auto"/>
                <w:kern w:val="0"/>
                <w:szCs w:val="21"/>
                <w:highlight w:val="none"/>
                <w:u w:val="single"/>
              </w:rPr>
            </w:pPr>
            <w:r>
              <w:rPr>
                <w:rFonts w:hint="eastAsia" w:ascii="仿宋" w:hAnsi="仿宋" w:cs="仿宋"/>
                <w:color w:val="auto"/>
                <w:kern w:val="0"/>
                <w:szCs w:val="21"/>
                <w:highlight w:val="none"/>
              </w:rPr>
              <w:t>名  称：</w:t>
            </w:r>
            <w:r>
              <w:rPr>
                <w:rFonts w:hint="eastAsia" w:ascii="仿宋" w:hAnsi="仿宋" w:cs="仿宋"/>
                <w:color w:val="auto"/>
                <w:kern w:val="0"/>
                <w:szCs w:val="21"/>
                <w:highlight w:val="none"/>
                <w:u w:val="single"/>
              </w:rPr>
              <w:t>辽宁合建项目管理咨询有限公司</w:t>
            </w:r>
          </w:p>
          <w:p>
            <w:pPr>
              <w:widowControl/>
              <w:jc w:val="left"/>
              <w:rPr>
                <w:rFonts w:hint="eastAsia" w:ascii="仿宋" w:hAnsi="仿宋" w:cs="仿宋"/>
                <w:color w:val="auto"/>
                <w:kern w:val="0"/>
                <w:szCs w:val="21"/>
                <w:highlight w:val="none"/>
                <w:u w:val="single"/>
              </w:rPr>
            </w:pPr>
            <w:r>
              <w:rPr>
                <w:rFonts w:hint="eastAsia" w:ascii="仿宋" w:hAnsi="仿宋" w:cs="仿宋"/>
                <w:color w:val="auto"/>
                <w:kern w:val="0"/>
                <w:szCs w:val="21"/>
                <w:highlight w:val="none"/>
              </w:rPr>
              <w:t>地  址：</w:t>
            </w:r>
            <w:r>
              <w:rPr>
                <w:rFonts w:hint="eastAsia" w:ascii="仿宋" w:hAnsi="仿宋" w:cs="仿宋"/>
                <w:color w:val="auto"/>
                <w:szCs w:val="21"/>
                <w:highlight w:val="none"/>
                <w:u w:val="single"/>
              </w:rPr>
              <w:t>沈阳市和平区青年大街386号华阳国际大厦2252室</w:t>
            </w:r>
          </w:p>
          <w:p>
            <w:pPr>
              <w:widowControl/>
              <w:jc w:val="left"/>
              <w:rPr>
                <w:rFonts w:hint="eastAsia" w:ascii="仿宋" w:hAnsi="仿宋" w:cs="仿宋"/>
                <w:color w:val="auto"/>
                <w:kern w:val="0"/>
                <w:szCs w:val="21"/>
                <w:highlight w:val="none"/>
                <w:u w:val="single"/>
              </w:rPr>
            </w:pPr>
            <w:r>
              <w:rPr>
                <w:rFonts w:hint="eastAsia" w:ascii="仿宋" w:hAnsi="仿宋" w:cs="仿宋"/>
                <w:color w:val="auto"/>
                <w:kern w:val="0"/>
                <w:szCs w:val="21"/>
                <w:highlight w:val="none"/>
              </w:rPr>
              <w:t>联系人：</w:t>
            </w:r>
            <w:r>
              <w:rPr>
                <w:rFonts w:hint="eastAsia" w:ascii="仿宋" w:hAnsi="仿宋" w:cs="仿宋"/>
                <w:color w:val="auto"/>
                <w:kern w:val="0"/>
                <w:szCs w:val="21"/>
                <w:highlight w:val="none"/>
                <w:u w:val="single"/>
              </w:rPr>
              <w:t>任洪建、刘峻佐</w:t>
            </w:r>
          </w:p>
          <w:p>
            <w:pPr>
              <w:widowControl/>
              <w:jc w:val="left"/>
              <w:rPr>
                <w:rFonts w:hint="eastAsia" w:ascii="仿宋" w:hAnsi="仿宋" w:eastAsia="仿宋" w:cs="仿宋"/>
                <w:color w:val="auto"/>
                <w:kern w:val="0"/>
                <w:szCs w:val="21"/>
                <w:highlight w:val="none"/>
              </w:rPr>
            </w:pPr>
            <w:r>
              <w:rPr>
                <w:rFonts w:hint="eastAsia" w:ascii="仿宋" w:hAnsi="仿宋" w:cs="仿宋"/>
                <w:color w:val="auto"/>
                <w:kern w:val="0"/>
                <w:szCs w:val="21"/>
                <w:highlight w:val="none"/>
              </w:rPr>
              <w:t>电  话：</w:t>
            </w:r>
            <w:r>
              <w:rPr>
                <w:rFonts w:hint="eastAsia" w:ascii="仿宋" w:hAnsi="仿宋" w:cs="仿宋"/>
                <w:color w:val="auto"/>
                <w:kern w:val="0"/>
                <w:szCs w:val="21"/>
                <w:highlight w:val="none"/>
                <w:u w:val="single"/>
              </w:rPr>
              <w:t>024-23180489-0</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1.3.4</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合格供应商还要满足的其它资格条件</w:t>
            </w:r>
          </w:p>
        </w:tc>
        <w:tc>
          <w:tcPr>
            <w:tcW w:w="588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Cs w:val="21"/>
                <w:highlight w:val="none"/>
              </w:rPr>
            </w:pPr>
            <w:r>
              <w:rPr>
                <w:rFonts w:hint="eastAsia" w:ascii="仿宋" w:hAnsi="仿宋" w:cs="仿宋"/>
                <w:color w:val="auto"/>
                <w:szCs w:val="21"/>
                <w:highlight w:val="none"/>
              </w:rPr>
              <w:t>取得农业农村部生物有机肥产品登记证（如为代理商，提供生产企业的生物有机肥产品登记证）。</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1.3.5</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tabs>
                <w:tab w:val="left" w:pos="1425"/>
              </w:tabs>
              <w:jc w:val="center"/>
              <w:rPr>
                <w:rFonts w:hint="eastAsia" w:ascii="仿宋" w:hAnsi="仿宋" w:eastAsia="仿宋" w:cs="仿宋"/>
                <w:bCs/>
                <w:color w:val="auto"/>
                <w:kern w:val="0"/>
                <w:szCs w:val="21"/>
                <w:highlight w:val="none"/>
              </w:rPr>
            </w:pPr>
            <w:r>
              <w:rPr>
                <w:rFonts w:hint="eastAsia" w:ascii="仿宋" w:hAnsi="仿宋" w:eastAsia="仿宋" w:cs="仿宋"/>
                <w:bCs/>
                <w:color w:val="auto"/>
                <w:kern w:val="0"/>
                <w:szCs w:val="21"/>
                <w:highlight w:val="none"/>
              </w:rPr>
              <w:t>是否允许采购进口产品</w:t>
            </w:r>
          </w:p>
        </w:tc>
        <w:tc>
          <w:tcPr>
            <w:tcW w:w="588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sym w:font="Wingdings 2" w:char="00A3"/>
            </w:r>
            <w:r>
              <w:rPr>
                <w:rFonts w:hint="eastAsia" w:ascii="仿宋" w:hAnsi="仿宋" w:eastAsia="仿宋" w:cs="仿宋"/>
                <w:color w:val="auto"/>
                <w:kern w:val="0"/>
                <w:szCs w:val="21"/>
                <w:highlight w:val="none"/>
              </w:rPr>
              <w:t>是</w:t>
            </w:r>
          </w:p>
          <w:p>
            <w:pPr>
              <w:rPr>
                <w:rFonts w:hint="eastAsia" w:ascii="仿宋" w:hAnsi="仿宋" w:eastAsia="仿宋" w:cs="仿宋"/>
                <w:bCs/>
                <w:color w:val="auto"/>
                <w:kern w:val="0"/>
                <w:szCs w:val="21"/>
                <w:highlight w:val="none"/>
              </w:rPr>
            </w:pPr>
            <w:r>
              <w:rPr>
                <w:rFonts w:hint="eastAsia" w:ascii="仿宋" w:hAnsi="仿宋" w:eastAsia="仿宋" w:cs="仿宋"/>
                <w:color w:val="auto"/>
                <w:kern w:val="0"/>
                <w:szCs w:val="21"/>
                <w:highlight w:val="none"/>
              </w:rPr>
              <w:sym w:font="Wingdings 2" w:char="0052"/>
            </w:r>
            <w:r>
              <w:rPr>
                <w:rFonts w:hint="eastAsia" w:ascii="仿宋" w:hAnsi="仿宋" w:eastAsia="仿宋" w:cs="仿宋"/>
                <w:color w:val="auto"/>
                <w:kern w:val="0"/>
                <w:szCs w:val="21"/>
                <w:highlight w:val="none"/>
              </w:rPr>
              <w:t>否</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1.3.6</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tabs>
                <w:tab w:val="left" w:pos="1425"/>
              </w:tabs>
              <w:jc w:val="center"/>
              <w:rPr>
                <w:rFonts w:hint="eastAsia" w:ascii="仿宋" w:hAnsi="仿宋" w:eastAsia="仿宋" w:cs="仿宋"/>
                <w:bCs/>
                <w:color w:val="auto"/>
                <w:kern w:val="0"/>
                <w:szCs w:val="21"/>
                <w:highlight w:val="none"/>
              </w:rPr>
            </w:pPr>
            <w:r>
              <w:rPr>
                <w:rFonts w:hint="eastAsia" w:ascii="仿宋" w:hAnsi="仿宋" w:eastAsia="仿宋" w:cs="仿宋"/>
                <w:color w:val="auto"/>
                <w:kern w:val="0"/>
                <w:szCs w:val="21"/>
                <w:highlight w:val="none"/>
              </w:rPr>
              <w:t>是否为专门面向</w:t>
            </w:r>
            <w:r>
              <w:rPr>
                <w:rFonts w:hint="eastAsia" w:ascii="仿宋" w:hAnsi="仿宋" w:eastAsia="仿宋" w:cs="仿宋"/>
                <w:color w:val="auto"/>
                <w:szCs w:val="21"/>
                <w:highlight w:val="none"/>
              </w:rPr>
              <w:t>中小企业</w:t>
            </w:r>
            <w:r>
              <w:rPr>
                <w:rFonts w:hint="eastAsia" w:ascii="仿宋" w:hAnsi="仿宋" w:eastAsia="仿宋" w:cs="仿宋"/>
                <w:color w:val="auto"/>
                <w:kern w:val="0"/>
                <w:szCs w:val="21"/>
                <w:highlight w:val="none"/>
              </w:rPr>
              <w:t>采购</w:t>
            </w:r>
          </w:p>
        </w:tc>
        <w:tc>
          <w:tcPr>
            <w:tcW w:w="588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sym w:font="Wingdings 2" w:char="00A3"/>
            </w:r>
            <w:r>
              <w:rPr>
                <w:rFonts w:hint="eastAsia" w:ascii="仿宋" w:hAnsi="仿宋" w:eastAsia="仿宋" w:cs="仿宋"/>
                <w:color w:val="auto"/>
                <w:kern w:val="0"/>
                <w:szCs w:val="21"/>
                <w:highlight w:val="none"/>
              </w:rPr>
              <w:t>是</w:t>
            </w:r>
          </w:p>
          <w:p>
            <w:pP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sym w:font="Wingdings 2" w:char="0052"/>
            </w:r>
            <w:r>
              <w:rPr>
                <w:rFonts w:hint="eastAsia" w:ascii="仿宋" w:hAnsi="仿宋" w:eastAsia="仿宋" w:cs="仿宋"/>
                <w:color w:val="auto"/>
                <w:kern w:val="0"/>
                <w:szCs w:val="21"/>
                <w:highlight w:val="none"/>
              </w:rPr>
              <w:t>否</w:t>
            </w:r>
          </w:p>
          <w:p>
            <w:pPr>
              <w:rPr>
                <w:rFonts w:hint="eastAsia" w:ascii="仿宋" w:hAnsi="仿宋" w:eastAsia="仿宋" w:cs="仿宋"/>
                <w:color w:val="auto"/>
                <w:kern w:val="0"/>
                <w:szCs w:val="21"/>
                <w:highlight w:val="none"/>
                <w:lang w:eastAsia="zh-CN"/>
              </w:rPr>
            </w:pPr>
            <w:r>
              <w:rPr>
                <w:rFonts w:hint="eastAsia" w:ascii="仿宋" w:hAnsi="仿宋" w:cs="仿宋"/>
                <w:b/>
                <w:bCs/>
                <w:color w:val="auto"/>
                <w:kern w:val="0"/>
                <w:szCs w:val="21"/>
                <w:highlight w:val="none"/>
              </w:rPr>
              <w:t>采购标的对应的中小企业划分标准所属行业：</w:t>
            </w:r>
            <w:r>
              <w:rPr>
                <w:rFonts w:hint="eastAsia" w:ascii="仿宋" w:hAnsi="仿宋" w:cs="仿宋"/>
                <w:b/>
                <w:bCs/>
                <w:color w:val="auto"/>
                <w:kern w:val="0"/>
                <w:szCs w:val="21"/>
                <w:highlight w:val="none"/>
                <w:u w:val="single"/>
              </w:rPr>
              <w:t>农、林、牧、渔业</w:t>
            </w:r>
          </w:p>
        </w:tc>
      </w:tr>
      <w:tr>
        <w:tblPrEx>
          <w:tblCellMar>
            <w:top w:w="0" w:type="dxa"/>
            <w:left w:w="108" w:type="dxa"/>
            <w:bottom w:w="0" w:type="dxa"/>
            <w:right w:w="108" w:type="dxa"/>
          </w:tblCellMar>
        </w:tblPrEx>
        <w:trPr>
          <w:trHeight w:val="836"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1.3.7</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tabs>
                <w:tab w:val="left" w:pos="1425"/>
              </w:tabs>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是否有政府强制采购的节能产品</w:t>
            </w:r>
          </w:p>
        </w:tc>
        <w:tc>
          <w:tcPr>
            <w:tcW w:w="588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sym w:font="Wingdings 2" w:char="00A3"/>
            </w:r>
            <w:r>
              <w:rPr>
                <w:rFonts w:hint="eastAsia" w:ascii="仿宋" w:hAnsi="仿宋" w:eastAsia="仿宋" w:cs="仿宋"/>
                <w:color w:val="auto"/>
                <w:kern w:val="0"/>
                <w:szCs w:val="21"/>
                <w:highlight w:val="none"/>
              </w:rPr>
              <w:t>有，具体产品为</w:t>
            </w:r>
            <w:r>
              <w:rPr>
                <w:rFonts w:hint="eastAsia" w:ascii="仿宋" w:hAnsi="仿宋" w:eastAsia="仿宋" w:cs="仿宋"/>
                <w:bCs/>
                <w:color w:val="auto"/>
                <w:kern w:val="0"/>
                <w:szCs w:val="21"/>
                <w:highlight w:val="none"/>
                <w:u w:val="single"/>
              </w:rPr>
              <w:t xml:space="preserve">        </w:t>
            </w:r>
          </w:p>
          <w:p>
            <w:pP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sym w:font="Wingdings 2" w:char="0052"/>
            </w:r>
            <w:r>
              <w:rPr>
                <w:rFonts w:hint="eastAsia" w:ascii="仿宋" w:hAnsi="仿宋" w:eastAsia="仿宋" w:cs="仿宋"/>
                <w:color w:val="auto"/>
                <w:kern w:val="0"/>
                <w:szCs w:val="21"/>
                <w:highlight w:val="none"/>
              </w:rPr>
              <w:t>没有</w:t>
            </w:r>
          </w:p>
        </w:tc>
      </w:tr>
      <w:tr>
        <w:tblPrEx>
          <w:tblCellMar>
            <w:top w:w="0" w:type="dxa"/>
            <w:left w:w="108" w:type="dxa"/>
            <w:bottom w:w="0" w:type="dxa"/>
            <w:right w:w="108" w:type="dxa"/>
          </w:tblCellMar>
        </w:tblPrEx>
        <w:trPr>
          <w:trHeight w:val="410"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1.4</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tabs>
                <w:tab w:val="left" w:pos="1425"/>
              </w:tabs>
              <w:jc w:val="center"/>
              <w:rPr>
                <w:rFonts w:hint="eastAsia" w:ascii="仿宋" w:hAnsi="仿宋" w:eastAsia="仿宋" w:cs="仿宋"/>
                <w:b/>
                <w:color w:val="auto"/>
                <w:kern w:val="0"/>
                <w:szCs w:val="21"/>
                <w:highlight w:val="none"/>
              </w:rPr>
            </w:pPr>
            <w:r>
              <w:rPr>
                <w:rFonts w:hint="eastAsia" w:ascii="仿宋" w:hAnsi="仿宋" w:eastAsia="仿宋" w:cs="仿宋"/>
                <w:bCs/>
                <w:color w:val="auto"/>
                <w:kern w:val="0"/>
                <w:szCs w:val="21"/>
                <w:highlight w:val="none"/>
              </w:rPr>
              <w:t>是否允许联合体投标</w:t>
            </w:r>
          </w:p>
        </w:tc>
        <w:tc>
          <w:tcPr>
            <w:tcW w:w="588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sym w:font="Wingdings 2" w:char="00A3"/>
            </w:r>
            <w:r>
              <w:rPr>
                <w:rFonts w:hint="eastAsia" w:ascii="仿宋" w:hAnsi="仿宋" w:eastAsia="仿宋" w:cs="仿宋"/>
                <w:color w:val="auto"/>
                <w:kern w:val="0"/>
                <w:szCs w:val="21"/>
                <w:highlight w:val="none"/>
              </w:rPr>
              <w:t>是</w:t>
            </w:r>
          </w:p>
          <w:p>
            <w:pP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sym w:font="Wingdings 2" w:char="0052"/>
            </w:r>
            <w:r>
              <w:rPr>
                <w:rFonts w:hint="eastAsia" w:ascii="仿宋" w:hAnsi="仿宋" w:eastAsia="仿宋" w:cs="仿宋"/>
                <w:color w:val="auto"/>
                <w:kern w:val="0"/>
                <w:szCs w:val="21"/>
                <w:highlight w:val="none"/>
              </w:rPr>
              <w:t>否</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1.4.8</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tabs>
                <w:tab w:val="left" w:pos="1425"/>
              </w:tabs>
              <w:jc w:val="center"/>
              <w:rPr>
                <w:rFonts w:hint="eastAsia" w:ascii="仿宋" w:hAnsi="仿宋" w:eastAsia="仿宋" w:cs="仿宋"/>
                <w:bCs/>
                <w:color w:val="auto"/>
                <w:kern w:val="0"/>
                <w:szCs w:val="21"/>
                <w:highlight w:val="none"/>
              </w:rPr>
            </w:pPr>
            <w:r>
              <w:rPr>
                <w:rFonts w:hint="eastAsia" w:ascii="仿宋" w:hAnsi="仿宋" w:eastAsia="仿宋" w:cs="仿宋"/>
                <w:bCs/>
                <w:color w:val="auto"/>
                <w:kern w:val="0"/>
                <w:szCs w:val="21"/>
                <w:highlight w:val="none"/>
              </w:rPr>
              <w:t>联合体投标的其他资格要求</w:t>
            </w:r>
          </w:p>
        </w:tc>
        <w:tc>
          <w:tcPr>
            <w:tcW w:w="588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Cs/>
                <w:color w:val="auto"/>
                <w:kern w:val="0"/>
                <w:szCs w:val="21"/>
                <w:highlight w:val="none"/>
                <w:lang w:eastAsia="zh-CN"/>
              </w:rPr>
            </w:pPr>
            <w:r>
              <w:rPr>
                <w:rFonts w:hint="eastAsia" w:ascii="仿宋" w:hAnsi="仿宋" w:cs="仿宋"/>
                <w:bCs/>
                <w:color w:val="auto"/>
                <w:kern w:val="0"/>
                <w:szCs w:val="21"/>
                <w:highlight w:val="none"/>
                <w:lang w:eastAsia="zh-CN"/>
              </w:rPr>
              <w:t>无</w:t>
            </w:r>
          </w:p>
        </w:tc>
      </w:tr>
      <w:tr>
        <w:tblPrEx>
          <w:tblCellMar>
            <w:top w:w="0" w:type="dxa"/>
            <w:left w:w="108" w:type="dxa"/>
            <w:bottom w:w="0" w:type="dxa"/>
            <w:right w:w="108" w:type="dxa"/>
          </w:tblCellMar>
        </w:tblPrEx>
        <w:trPr>
          <w:trHeight w:val="942"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2.2</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jc w:val="center"/>
              <w:rPr>
                <w:rFonts w:hint="eastAsia" w:ascii="仿宋" w:hAnsi="仿宋" w:eastAsia="仿宋" w:cs="仿宋"/>
                <w:bCs/>
                <w:color w:val="auto"/>
                <w:kern w:val="0"/>
                <w:szCs w:val="21"/>
                <w:highlight w:val="none"/>
              </w:rPr>
            </w:pPr>
            <w:r>
              <w:rPr>
                <w:rFonts w:hint="eastAsia" w:ascii="仿宋" w:hAnsi="仿宋" w:eastAsia="仿宋" w:cs="仿宋"/>
                <w:color w:val="auto"/>
                <w:kern w:val="0"/>
                <w:szCs w:val="21"/>
                <w:highlight w:val="none"/>
              </w:rPr>
              <w:t>项目预算金额、最高限价</w:t>
            </w:r>
          </w:p>
        </w:tc>
        <w:tc>
          <w:tcPr>
            <w:tcW w:w="588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cs="仿宋"/>
                <w:bCs/>
                <w:color w:val="auto"/>
                <w:kern w:val="0"/>
                <w:szCs w:val="21"/>
                <w:highlight w:val="none"/>
              </w:rPr>
            </w:pPr>
            <w:r>
              <w:rPr>
                <w:rFonts w:hint="eastAsia" w:ascii="仿宋" w:hAnsi="仿宋" w:cs="仿宋"/>
                <w:bCs/>
                <w:color w:val="auto"/>
                <w:kern w:val="0"/>
                <w:szCs w:val="21"/>
                <w:highlight w:val="none"/>
              </w:rPr>
              <w:t>包组编号：001</w:t>
            </w:r>
          </w:p>
          <w:p>
            <w:pPr>
              <w:rPr>
                <w:rFonts w:hint="eastAsia" w:ascii="仿宋" w:hAnsi="仿宋" w:cs="仿宋"/>
                <w:bCs/>
                <w:color w:val="auto"/>
                <w:kern w:val="0"/>
                <w:szCs w:val="21"/>
                <w:highlight w:val="none"/>
              </w:rPr>
            </w:pPr>
            <w:r>
              <w:rPr>
                <w:rFonts w:hint="eastAsia" w:ascii="仿宋" w:hAnsi="仿宋" w:cs="仿宋"/>
                <w:bCs/>
                <w:color w:val="auto"/>
                <w:kern w:val="0"/>
                <w:szCs w:val="21"/>
                <w:highlight w:val="none"/>
              </w:rPr>
              <w:t>预算金额：</w:t>
            </w:r>
            <w:r>
              <w:rPr>
                <w:rFonts w:hint="eastAsia" w:ascii="仿宋" w:hAnsi="仿宋" w:cs="仿宋"/>
                <w:bCs/>
                <w:color w:val="auto"/>
                <w:kern w:val="0"/>
                <w:szCs w:val="21"/>
                <w:highlight w:val="none"/>
                <w:u w:val="single"/>
              </w:rPr>
              <w:t>4,878,100.00</w:t>
            </w:r>
            <w:r>
              <w:rPr>
                <w:rFonts w:hint="eastAsia" w:ascii="仿宋" w:hAnsi="仿宋" w:cs="仿宋"/>
                <w:bCs/>
                <w:color w:val="auto"/>
                <w:kern w:val="0"/>
                <w:szCs w:val="21"/>
                <w:highlight w:val="none"/>
              </w:rPr>
              <w:t>元</w:t>
            </w:r>
          </w:p>
          <w:p>
            <w:pPr>
              <w:rPr>
                <w:rFonts w:hint="eastAsia" w:ascii="仿宋" w:hAnsi="仿宋" w:cs="仿宋"/>
                <w:bCs/>
                <w:color w:val="auto"/>
                <w:kern w:val="0"/>
                <w:szCs w:val="21"/>
                <w:highlight w:val="none"/>
              </w:rPr>
            </w:pPr>
            <w:r>
              <w:rPr>
                <w:rFonts w:hint="eastAsia" w:ascii="仿宋" w:hAnsi="仿宋" w:cs="仿宋"/>
                <w:bCs/>
                <w:color w:val="auto"/>
                <w:kern w:val="0"/>
                <w:szCs w:val="21"/>
                <w:highlight w:val="none"/>
              </w:rPr>
              <w:t>最高限价：</w:t>
            </w:r>
            <w:r>
              <w:rPr>
                <w:rFonts w:hint="eastAsia" w:ascii="仿宋" w:hAnsi="仿宋" w:cs="仿宋"/>
                <w:bCs/>
                <w:color w:val="auto"/>
                <w:kern w:val="0"/>
                <w:szCs w:val="21"/>
                <w:highlight w:val="none"/>
                <w:u w:val="single"/>
              </w:rPr>
              <w:t>4,878,100.00</w:t>
            </w:r>
            <w:r>
              <w:rPr>
                <w:rFonts w:hint="eastAsia" w:ascii="仿宋" w:hAnsi="仿宋" w:cs="仿宋"/>
                <w:bCs/>
                <w:color w:val="auto"/>
                <w:kern w:val="0"/>
                <w:szCs w:val="21"/>
                <w:highlight w:val="none"/>
              </w:rPr>
              <w:t>元</w:t>
            </w:r>
          </w:p>
          <w:p>
            <w:pPr>
              <w:rPr>
                <w:rFonts w:hint="eastAsia" w:ascii="仿宋" w:hAnsi="仿宋" w:cs="仿宋"/>
                <w:bCs/>
                <w:color w:val="auto"/>
                <w:kern w:val="0"/>
                <w:szCs w:val="21"/>
                <w:highlight w:val="none"/>
              </w:rPr>
            </w:pPr>
            <w:r>
              <w:rPr>
                <w:rFonts w:hint="eastAsia" w:ascii="仿宋" w:hAnsi="仿宋" w:cs="仿宋"/>
                <w:bCs/>
                <w:color w:val="auto"/>
                <w:kern w:val="0"/>
                <w:szCs w:val="21"/>
                <w:highlight w:val="none"/>
              </w:rPr>
              <w:t>包组编号：002</w:t>
            </w:r>
          </w:p>
          <w:p>
            <w:pPr>
              <w:rPr>
                <w:rFonts w:hint="eastAsia" w:ascii="仿宋" w:hAnsi="仿宋" w:cs="仿宋"/>
                <w:bCs/>
                <w:color w:val="auto"/>
                <w:kern w:val="0"/>
                <w:szCs w:val="21"/>
                <w:highlight w:val="none"/>
              </w:rPr>
            </w:pPr>
            <w:r>
              <w:rPr>
                <w:rFonts w:hint="eastAsia" w:ascii="仿宋" w:hAnsi="仿宋" w:cs="仿宋"/>
                <w:bCs/>
                <w:color w:val="auto"/>
                <w:kern w:val="0"/>
                <w:szCs w:val="21"/>
                <w:highlight w:val="none"/>
              </w:rPr>
              <w:t>预算金额：</w:t>
            </w:r>
            <w:r>
              <w:rPr>
                <w:rFonts w:hint="eastAsia" w:ascii="仿宋" w:hAnsi="仿宋" w:cs="仿宋"/>
                <w:bCs/>
                <w:color w:val="auto"/>
                <w:kern w:val="0"/>
                <w:szCs w:val="21"/>
                <w:highlight w:val="none"/>
                <w:u w:val="single"/>
              </w:rPr>
              <w:t>4,118,700.00</w:t>
            </w:r>
            <w:r>
              <w:rPr>
                <w:rFonts w:hint="eastAsia" w:ascii="仿宋" w:hAnsi="仿宋" w:cs="仿宋"/>
                <w:bCs/>
                <w:color w:val="auto"/>
                <w:kern w:val="0"/>
                <w:szCs w:val="21"/>
                <w:highlight w:val="none"/>
              </w:rPr>
              <w:t>元</w:t>
            </w:r>
          </w:p>
          <w:p>
            <w:pPr>
              <w:rPr>
                <w:rFonts w:hint="eastAsia" w:ascii="仿宋" w:hAnsi="仿宋" w:eastAsia="仿宋" w:cs="仿宋"/>
                <w:bCs/>
                <w:color w:val="auto"/>
                <w:kern w:val="0"/>
                <w:szCs w:val="21"/>
                <w:highlight w:val="none"/>
              </w:rPr>
            </w:pPr>
            <w:r>
              <w:rPr>
                <w:rFonts w:hint="eastAsia" w:ascii="仿宋" w:hAnsi="仿宋" w:cs="仿宋"/>
                <w:bCs/>
                <w:color w:val="auto"/>
                <w:kern w:val="0"/>
                <w:szCs w:val="21"/>
                <w:highlight w:val="none"/>
              </w:rPr>
              <w:t>最高限价：</w:t>
            </w:r>
            <w:r>
              <w:rPr>
                <w:rFonts w:hint="eastAsia" w:ascii="仿宋" w:hAnsi="仿宋" w:cs="仿宋"/>
                <w:bCs/>
                <w:color w:val="auto"/>
                <w:kern w:val="0"/>
                <w:szCs w:val="21"/>
                <w:highlight w:val="none"/>
                <w:u w:val="single"/>
              </w:rPr>
              <w:t>4,118,700.00</w:t>
            </w:r>
            <w:r>
              <w:rPr>
                <w:rFonts w:hint="eastAsia" w:ascii="仿宋" w:hAnsi="仿宋" w:cs="仿宋"/>
                <w:bCs/>
                <w:color w:val="auto"/>
                <w:kern w:val="0"/>
                <w:szCs w:val="21"/>
                <w:highlight w:val="none"/>
              </w:rPr>
              <w:t>元</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4</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tabs>
                <w:tab w:val="left" w:pos="1425"/>
              </w:tabs>
              <w:jc w:val="center"/>
              <w:rPr>
                <w:rFonts w:hint="eastAsia" w:ascii="仿宋" w:hAnsi="仿宋" w:eastAsia="仿宋" w:cs="仿宋"/>
                <w:bCs/>
                <w:color w:val="auto"/>
                <w:kern w:val="0"/>
                <w:szCs w:val="21"/>
                <w:highlight w:val="none"/>
              </w:rPr>
            </w:pPr>
            <w:r>
              <w:rPr>
                <w:rFonts w:hint="eastAsia" w:ascii="仿宋" w:hAnsi="仿宋" w:eastAsia="仿宋" w:cs="仿宋"/>
                <w:bCs/>
                <w:color w:val="auto"/>
                <w:kern w:val="0"/>
                <w:szCs w:val="21"/>
                <w:highlight w:val="none"/>
              </w:rPr>
              <w:t>计量单位</w:t>
            </w:r>
          </w:p>
        </w:tc>
        <w:tc>
          <w:tcPr>
            <w:tcW w:w="588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Cs/>
                <w:color w:val="auto"/>
                <w:kern w:val="0"/>
                <w:szCs w:val="21"/>
                <w:highlight w:val="none"/>
              </w:rPr>
            </w:pPr>
            <w:r>
              <w:rPr>
                <w:rFonts w:hint="eastAsia" w:ascii="仿宋" w:hAnsi="仿宋" w:eastAsia="仿宋" w:cs="仿宋"/>
                <w:bCs/>
                <w:color w:val="auto"/>
                <w:kern w:val="0"/>
                <w:szCs w:val="21"/>
                <w:highlight w:val="none"/>
              </w:rPr>
              <w:sym w:font="Wingdings 2" w:char="0052"/>
            </w:r>
            <w:r>
              <w:rPr>
                <w:rFonts w:hint="eastAsia" w:ascii="仿宋" w:hAnsi="仿宋" w:eastAsia="仿宋" w:cs="仿宋"/>
                <w:bCs/>
                <w:color w:val="auto"/>
                <w:kern w:val="0"/>
                <w:szCs w:val="21"/>
                <w:highlight w:val="none"/>
              </w:rPr>
              <w:t>中华人民共和国法定计量单位</w:t>
            </w:r>
          </w:p>
          <w:p>
            <w:pPr>
              <w:rPr>
                <w:rFonts w:hint="eastAsia" w:ascii="仿宋" w:hAnsi="仿宋" w:eastAsia="仿宋" w:cs="仿宋"/>
                <w:bCs/>
                <w:color w:val="auto"/>
                <w:kern w:val="0"/>
                <w:szCs w:val="21"/>
                <w:highlight w:val="none"/>
              </w:rPr>
            </w:pPr>
            <w:r>
              <w:rPr>
                <w:rFonts w:hint="eastAsia" w:ascii="仿宋" w:hAnsi="仿宋" w:eastAsia="仿宋" w:cs="仿宋"/>
                <w:bCs/>
                <w:color w:val="auto"/>
                <w:kern w:val="0"/>
                <w:szCs w:val="21"/>
                <w:highlight w:val="none"/>
              </w:rPr>
              <w:sym w:font="Wingdings 2" w:char="00A3"/>
            </w:r>
            <w:r>
              <w:rPr>
                <w:rFonts w:hint="eastAsia" w:ascii="仿宋" w:hAnsi="仿宋" w:eastAsia="仿宋" w:cs="仿宋"/>
                <w:bCs/>
                <w:color w:val="auto"/>
                <w:kern w:val="0"/>
                <w:szCs w:val="21"/>
                <w:highlight w:val="none"/>
              </w:rPr>
              <w:t>其他：</w:t>
            </w:r>
            <w:r>
              <w:rPr>
                <w:rFonts w:hint="eastAsia" w:ascii="仿宋" w:hAnsi="仿宋" w:eastAsia="仿宋" w:cs="仿宋"/>
                <w:bCs/>
                <w:color w:val="auto"/>
                <w:kern w:val="0"/>
                <w:szCs w:val="21"/>
                <w:highlight w:val="none"/>
                <w:u w:val="single"/>
              </w:rPr>
              <w:t xml:space="preserve">             </w:t>
            </w:r>
          </w:p>
        </w:tc>
      </w:tr>
      <w:tr>
        <w:tblPrEx>
          <w:tblCellMar>
            <w:top w:w="0" w:type="dxa"/>
            <w:left w:w="108" w:type="dxa"/>
            <w:bottom w:w="0" w:type="dxa"/>
            <w:right w:w="108" w:type="dxa"/>
          </w:tblCellMar>
        </w:tblPrEx>
        <w:trPr>
          <w:trHeight w:val="1873"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6.1</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jc w:val="center"/>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rPr>
              <w:t>现场考察、开标前答疑会</w:t>
            </w:r>
          </w:p>
        </w:tc>
        <w:tc>
          <w:tcPr>
            <w:tcW w:w="588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sym w:font="Wingdings 2" w:char="0052"/>
            </w:r>
            <w:r>
              <w:rPr>
                <w:rFonts w:hint="eastAsia" w:ascii="仿宋" w:hAnsi="仿宋" w:eastAsia="仿宋" w:cs="仿宋"/>
                <w:color w:val="auto"/>
                <w:kern w:val="0"/>
                <w:szCs w:val="21"/>
                <w:highlight w:val="none"/>
              </w:rPr>
              <w:t>不组织</w:t>
            </w:r>
          </w:p>
          <w:p>
            <w:pP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sym w:font="Wingdings 2" w:char="00A3"/>
            </w:r>
            <w:r>
              <w:rPr>
                <w:rFonts w:hint="eastAsia" w:ascii="仿宋" w:hAnsi="仿宋" w:eastAsia="仿宋" w:cs="仿宋"/>
                <w:color w:val="auto"/>
                <w:kern w:val="0"/>
                <w:szCs w:val="21"/>
                <w:highlight w:val="none"/>
              </w:rPr>
              <w:t>组织，时  间：</w:t>
            </w:r>
            <w:r>
              <w:rPr>
                <w:rFonts w:hint="eastAsia" w:ascii="仿宋" w:hAnsi="仿宋" w:eastAsia="仿宋" w:cs="仿宋"/>
                <w:bCs/>
                <w:color w:val="auto"/>
                <w:kern w:val="0"/>
                <w:szCs w:val="21"/>
                <w:highlight w:val="none"/>
                <w:u w:val="single"/>
              </w:rPr>
              <w:t xml:space="preserve">         </w:t>
            </w:r>
          </w:p>
          <w:p>
            <w:pPr>
              <w:widowControl/>
              <w:ind w:left="-105" w:leftChars="-50" w:firstLine="949" w:firstLineChars="452"/>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地  点：</w:t>
            </w:r>
            <w:r>
              <w:rPr>
                <w:rFonts w:hint="eastAsia" w:ascii="仿宋" w:hAnsi="仿宋" w:eastAsia="仿宋" w:cs="仿宋"/>
                <w:bCs/>
                <w:color w:val="auto"/>
                <w:kern w:val="0"/>
                <w:szCs w:val="21"/>
                <w:highlight w:val="none"/>
                <w:u w:val="single"/>
              </w:rPr>
              <w:t xml:space="preserve">         </w:t>
            </w:r>
          </w:p>
          <w:p>
            <w:pPr>
              <w:ind w:left="-105" w:leftChars="-50" w:firstLine="949" w:firstLineChars="452"/>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联系人：</w:t>
            </w:r>
            <w:r>
              <w:rPr>
                <w:rFonts w:hint="eastAsia" w:ascii="仿宋" w:hAnsi="仿宋" w:eastAsia="仿宋" w:cs="仿宋"/>
                <w:bCs/>
                <w:color w:val="auto"/>
                <w:kern w:val="0"/>
                <w:szCs w:val="21"/>
                <w:highlight w:val="none"/>
                <w:u w:val="single"/>
              </w:rPr>
              <w:t xml:space="preserve">         </w:t>
            </w:r>
          </w:p>
          <w:p>
            <w:pPr>
              <w:ind w:left="-105" w:leftChars="-50" w:firstLine="949" w:firstLineChars="452"/>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电  话：</w:t>
            </w:r>
            <w:r>
              <w:rPr>
                <w:rFonts w:hint="eastAsia" w:ascii="仿宋" w:hAnsi="仿宋" w:eastAsia="仿宋" w:cs="仿宋"/>
                <w:bCs/>
                <w:color w:val="auto"/>
                <w:kern w:val="0"/>
                <w:szCs w:val="21"/>
                <w:highlight w:val="none"/>
                <w:u w:val="single"/>
              </w:rPr>
              <w:t xml:space="preserve">         </w:t>
            </w:r>
          </w:p>
          <w:p>
            <w:pP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sym w:font="Wingdings 2" w:char="00A3"/>
            </w:r>
            <w:r>
              <w:rPr>
                <w:rFonts w:hint="eastAsia" w:ascii="仿宋" w:hAnsi="仿宋" w:eastAsia="仿宋" w:cs="仿宋"/>
                <w:color w:val="auto"/>
                <w:kern w:val="0"/>
                <w:szCs w:val="21"/>
                <w:highlight w:val="none"/>
              </w:rPr>
              <w:t>组织，招标文件提供期限截止后以书面形式通知。</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10.3</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核心产品</w:t>
            </w:r>
          </w:p>
        </w:tc>
        <w:tc>
          <w:tcPr>
            <w:tcW w:w="588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Cs w:val="21"/>
                <w:highlight w:val="none"/>
              </w:rPr>
            </w:pPr>
            <w:bookmarkStart w:id="235" w:name="_GoBack"/>
            <w:bookmarkEnd w:id="235"/>
            <w:r>
              <w:rPr>
                <w:rFonts w:hint="eastAsia" w:ascii="仿宋" w:hAnsi="仿宋" w:eastAsia="仿宋" w:cs="仿宋"/>
                <w:color w:val="auto"/>
                <w:szCs w:val="21"/>
                <w:highlight w:val="none"/>
                <w:u w:val="single"/>
              </w:rPr>
              <w:t>颗粒状商品有机肥</w:t>
            </w:r>
            <w:r>
              <w:rPr>
                <w:rFonts w:hint="eastAsia" w:ascii="仿宋" w:hAnsi="仿宋" w:eastAsia="仿宋" w:cs="仿宋"/>
                <w:color w:val="auto"/>
                <w:szCs w:val="21"/>
                <w:highlight w:val="none"/>
              </w:rPr>
              <w:t>（非单一产品采购时，只能设一个核心产品）</w:t>
            </w:r>
          </w:p>
        </w:tc>
      </w:tr>
      <w:tr>
        <w:tblPrEx>
          <w:tblCellMar>
            <w:top w:w="0" w:type="dxa"/>
            <w:left w:w="108" w:type="dxa"/>
            <w:bottom w:w="0" w:type="dxa"/>
            <w:right w:w="108" w:type="dxa"/>
          </w:tblCellMar>
        </w:tblPrEx>
        <w:trPr>
          <w:trHeight w:val="6008"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11.3</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样品或演示</w:t>
            </w:r>
          </w:p>
        </w:tc>
        <w:tc>
          <w:tcPr>
            <w:tcW w:w="588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sym w:font="Wingdings 2" w:char="0052"/>
            </w:r>
            <w:r>
              <w:rPr>
                <w:rFonts w:hint="eastAsia" w:ascii="仿宋" w:hAnsi="仿宋" w:eastAsia="仿宋" w:cs="仿宋"/>
                <w:color w:val="auto"/>
                <w:kern w:val="0"/>
                <w:szCs w:val="21"/>
                <w:highlight w:val="none"/>
              </w:rPr>
              <w:t>不需要</w:t>
            </w:r>
            <w:r>
              <w:rPr>
                <w:rFonts w:hint="eastAsia" w:ascii="仿宋" w:hAnsi="仿宋" w:eastAsia="仿宋" w:cs="仿宋"/>
                <w:bCs/>
                <w:color w:val="auto"/>
                <w:kern w:val="0"/>
                <w:szCs w:val="21"/>
                <w:highlight w:val="none"/>
              </w:rPr>
              <w:t>提供样品</w:t>
            </w:r>
          </w:p>
          <w:p>
            <w:pPr>
              <w:rPr>
                <w:rFonts w:hint="eastAsia" w:ascii="仿宋" w:hAnsi="仿宋" w:eastAsia="仿宋" w:cs="仿宋"/>
                <w:bCs/>
                <w:color w:val="auto"/>
                <w:kern w:val="0"/>
                <w:szCs w:val="21"/>
                <w:highlight w:val="none"/>
              </w:rPr>
            </w:pPr>
            <w:r>
              <w:rPr>
                <w:rFonts w:hint="eastAsia" w:ascii="仿宋" w:hAnsi="仿宋" w:eastAsia="仿宋" w:cs="仿宋"/>
                <w:color w:val="auto"/>
                <w:kern w:val="0"/>
                <w:szCs w:val="21"/>
                <w:highlight w:val="none"/>
              </w:rPr>
              <w:sym w:font="Wingdings 2" w:char="00A3"/>
            </w:r>
            <w:r>
              <w:rPr>
                <w:rFonts w:hint="eastAsia" w:ascii="仿宋" w:hAnsi="仿宋" w:eastAsia="仿宋" w:cs="仿宋"/>
                <w:color w:val="auto"/>
                <w:kern w:val="0"/>
                <w:szCs w:val="21"/>
                <w:highlight w:val="none"/>
              </w:rPr>
              <w:t>需要</w:t>
            </w:r>
            <w:r>
              <w:rPr>
                <w:rFonts w:hint="eastAsia" w:ascii="仿宋" w:hAnsi="仿宋" w:eastAsia="仿宋" w:cs="仿宋"/>
                <w:bCs/>
                <w:color w:val="auto"/>
                <w:kern w:val="0"/>
                <w:szCs w:val="21"/>
                <w:highlight w:val="none"/>
              </w:rPr>
              <w:t>提供样品</w:t>
            </w:r>
          </w:p>
          <w:p>
            <w:pPr>
              <w:rPr>
                <w:rFonts w:hint="eastAsia" w:ascii="仿宋" w:hAnsi="仿宋" w:eastAsia="仿宋" w:cs="仿宋"/>
                <w:color w:val="auto"/>
                <w:kern w:val="0"/>
                <w:szCs w:val="21"/>
                <w:highlight w:val="none"/>
              </w:rPr>
            </w:pPr>
            <w:r>
              <w:rPr>
                <w:rFonts w:hint="eastAsia" w:ascii="仿宋" w:hAnsi="仿宋" w:eastAsia="仿宋" w:cs="仿宋"/>
                <w:bCs/>
                <w:color w:val="auto"/>
                <w:kern w:val="0"/>
                <w:szCs w:val="21"/>
                <w:highlight w:val="none"/>
              </w:rPr>
              <w:t xml:space="preserve">  </w:t>
            </w:r>
            <w:r>
              <w:rPr>
                <w:rFonts w:hint="eastAsia" w:ascii="仿宋" w:hAnsi="仿宋" w:eastAsia="仿宋" w:cs="仿宋"/>
                <w:color w:val="auto"/>
                <w:kern w:val="0"/>
                <w:szCs w:val="21"/>
                <w:highlight w:val="none"/>
              </w:rPr>
              <w:t>1、递交样品的截止时间：</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年</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月</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日</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时（北京时间）</w:t>
            </w:r>
          </w:p>
          <w:p>
            <w:pPr>
              <w:ind w:firstLine="525" w:firstLineChars="250"/>
              <w:rPr>
                <w:rFonts w:hint="eastAsia" w:ascii="仿宋" w:hAnsi="仿宋" w:eastAsia="仿宋" w:cs="仿宋"/>
                <w:color w:val="auto"/>
                <w:kern w:val="0"/>
                <w:szCs w:val="21"/>
                <w:highlight w:val="none"/>
                <w:u w:val="single"/>
              </w:rPr>
            </w:pPr>
            <w:r>
              <w:rPr>
                <w:rFonts w:hint="eastAsia" w:ascii="仿宋" w:hAnsi="仿宋" w:eastAsia="仿宋" w:cs="仿宋"/>
                <w:color w:val="auto"/>
                <w:kern w:val="0"/>
                <w:szCs w:val="21"/>
                <w:highlight w:val="none"/>
              </w:rPr>
              <w:t>递交样品地点：</w:t>
            </w:r>
            <w:r>
              <w:rPr>
                <w:rFonts w:hint="eastAsia" w:ascii="仿宋" w:hAnsi="仿宋" w:eastAsia="仿宋" w:cs="仿宋"/>
                <w:color w:val="auto"/>
                <w:kern w:val="0"/>
                <w:szCs w:val="21"/>
                <w:highlight w:val="none"/>
                <w:u w:val="single"/>
              </w:rPr>
              <w:t xml:space="preserve">                     </w:t>
            </w:r>
          </w:p>
          <w:p>
            <w:pPr>
              <w:ind w:firstLine="525" w:firstLineChars="250"/>
              <w:rPr>
                <w:rFonts w:hint="eastAsia" w:ascii="仿宋" w:hAnsi="仿宋" w:eastAsia="仿宋" w:cs="仿宋"/>
                <w:color w:val="auto"/>
                <w:kern w:val="0"/>
                <w:szCs w:val="21"/>
                <w:highlight w:val="none"/>
                <w:u w:val="single"/>
              </w:rPr>
            </w:pPr>
            <w:r>
              <w:rPr>
                <w:rFonts w:hint="eastAsia" w:ascii="仿宋" w:hAnsi="仿宋" w:eastAsia="仿宋" w:cs="仿宋"/>
                <w:color w:val="auto"/>
                <w:kern w:val="0"/>
                <w:szCs w:val="21"/>
                <w:highlight w:val="none"/>
              </w:rPr>
              <w:t>递交样品联系人：</w:t>
            </w:r>
            <w:r>
              <w:rPr>
                <w:rFonts w:hint="eastAsia" w:ascii="仿宋" w:hAnsi="仿宋" w:eastAsia="仿宋" w:cs="仿宋"/>
                <w:color w:val="auto"/>
                <w:kern w:val="0"/>
                <w:szCs w:val="21"/>
                <w:highlight w:val="none"/>
                <w:u w:val="single"/>
              </w:rPr>
              <w:t xml:space="preserve">                   </w:t>
            </w:r>
          </w:p>
          <w:p>
            <w:pPr>
              <w:ind w:firstLine="525" w:firstLineChars="250"/>
              <w:rPr>
                <w:rFonts w:hint="eastAsia" w:ascii="仿宋" w:hAnsi="仿宋" w:eastAsia="仿宋" w:cs="仿宋"/>
                <w:color w:val="auto"/>
                <w:kern w:val="0"/>
                <w:szCs w:val="21"/>
                <w:highlight w:val="none"/>
                <w:u w:val="single"/>
              </w:rPr>
            </w:pPr>
            <w:r>
              <w:rPr>
                <w:rFonts w:hint="eastAsia" w:ascii="仿宋" w:hAnsi="仿宋" w:eastAsia="仿宋" w:cs="仿宋"/>
                <w:color w:val="auto"/>
                <w:kern w:val="0"/>
                <w:szCs w:val="21"/>
                <w:highlight w:val="none"/>
              </w:rPr>
              <w:t>递交样品联系电话：</w:t>
            </w:r>
            <w:r>
              <w:rPr>
                <w:rFonts w:hint="eastAsia" w:ascii="仿宋" w:hAnsi="仿宋" w:eastAsia="仿宋" w:cs="仿宋"/>
                <w:color w:val="auto"/>
                <w:kern w:val="0"/>
                <w:szCs w:val="21"/>
                <w:highlight w:val="none"/>
                <w:u w:val="single"/>
              </w:rPr>
              <w:t xml:space="preserve">                 </w:t>
            </w:r>
          </w:p>
          <w:p>
            <w:pPr>
              <w:ind w:firstLine="210" w:firstLineChars="1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2、样品制作的标准和要求：</w:t>
            </w:r>
            <w:r>
              <w:rPr>
                <w:rFonts w:hint="eastAsia" w:ascii="仿宋" w:hAnsi="仿宋" w:eastAsia="仿宋" w:cs="仿宋"/>
                <w:color w:val="auto"/>
                <w:kern w:val="0"/>
                <w:szCs w:val="21"/>
                <w:highlight w:val="none"/>
                <w:u w:val="single"/>
              </w:rPr>
              <w:t xml:space="preserve">             </w:t>
            </w:r>
          </w:p>
          <w:p>
            <w:pPr>
              <w:ind w:firstLine="210" w:firstLineChars="1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3、随样品提交相关检测报告要求：</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 xml:space="preserve"> </w:t>
            </w:r>
          </w:p>
          <w:p>
            <w:pPr>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（包含是否要求提供、检测机构要求、检测内容等）</w:t>
            </w:r>
          </w:p>
          <w:p>
            <w:pPr>
              <w:ind w:firstLine="210" w:firstLineChars="1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4、样品的封存及退回：中标人的样品将由采购人进行保管、封存，并作为履约验收的参考。未中标的投标人提供的样品，应当由采购人进行保管、封存，中标公告之日起七个工作日后，由未中标人自行领回或经未中标人同意后自行处理。</w:t>
            </w:r>
          </w:p>
          <w:p>
            <w:pPr>
              <w:ind w:left="21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xml:space="preserve">  </w:t>
            </w:r>
          </w:p>
          <w:p>
            <w:pP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sym w:font="Wingdings 2" w:char="0052"/>
            </w:r>
            <w:r>
              <w:rPr>
                <w:rFonts w:hint="eastAsia" w:ascii="仿宋" w:hAnsi="仿宋" w:eastAsia="仿宋" w:cs="仿宋"/>
                <w:color w:val="auto"/>
                <w:kern w:val="0"/>
                <w:szCs w:val="21"/>
                <w:highlight w:val="none"/>
              </w:rPr>
              <w:t>不</w:t>
            </w:r>
            <w:r>
              <w:rPr>
                <w:rFonts w:hint="eastAsia" w:ascii="仿宋" w:hAnsi="仿宋" w:eastAsia="仿宋" w:cs="仿宋"/>
                <w:bCs/>
                <w:color w:val="auto"/>
                <w:kern w:val="0"/>
                <w:szCs w:val="21"/>
                <w:highlight w:val="none"/>
              </w:rPr>
              <w:t>需要提供演示</w:t>
            </w:r>
          </w:p>
          <w:p>
            <w:pPr>
              <w:rPr>
                <w:rFonts w:hint="eastAsia" w:ascii="仿宋" w:hAnsi="仿宋" w:eastAsia="仿宋" w:cs="仿宋"/>
                <w:bCs/>
                <w:color w:val="auto"/>
                <w:kern w:val="0"/>
                <w:szCs w:val="21"/>
                <w:highlight w:val="none"/>
              </w:rPr>
            </w:pPr>
            <w:r>
              <w:rPr>
                <w:rFonts w:hint="eastAsia" w:ascii="仿宋" w:hAnsi="仿宋" w:eastAsia="仿宋" w:cs="仿宋"/>
                <w:color w:val="auto"/>
                <w:kern w:val="0"/>
                <w:szCs w:val="21"/>
                <w:highlight w:val="none"/>
              </w:rPr>
              <w:sym w:font="Wingdings 2" w:char="00A3"/>
            </w:r>
            <w:r>
              <w:rPr>
                <w:rFonts w:hint="eastAsia" w:ascii="仿宋" w:hAnsi="仿宋" w:eastAsia="仿宋" w:cs="仿宋"/>
                <w:color w:val="auto"/>
                <w:kern w:val="0"/>
                <w:szCs w:val="21"/>
                <w:highlight w:val="none"/>
              </w:rPr>
              <w:t>需要</w:t>
            </w:r>
            <w:r>
              <w:rPr>
                <w:rFonts w:hint="eastAsia" w:ascii="仿宋" w:hAnsi="仿宋" w:eastAsia="仿宋" w:cs="仿宋"/>
                <w:bCs/>
                <w:color w:val="auto"/>
                <w:kern w:val="0"/>
                <w:szCs w:val="21"/>
                <w:highlight w:val="none"/>
              </w:rPr>
              <w:t>提供演示</w:t>
            </w:r>
          </w:p>
          <w:p>
            <w:pPr>
              <w:rPr>
                <w:rFonts w:hint="eastAsia" w:ascii="仿宋" w:hAnsi="仿宋" w:eastAsia="仿宋" w:cs="仿宋"/>
                <w:color w:val="auto"/>
                <w:kern w:val="0"/>
                <w:szCs w:val="21"/>
                <w:highlight w:val="none"/>
              </w:rPr>
            </w:pPr>
            <w:r>
              <w:rPr>
                <w:rFonts w:hint="eastAsia" w:ascii="仿宋" w:hAnsi="仿宋" w:eastAsia="仿宋" w:cs="仿宋"/>
                <w:bCs/>
                <w:color w:val="auto"/>
                <w:kern w:val="0"/>
                <w:szCs w:val="21"/>
                <w:highlight w:val="none"/>
              </w:rPr>
              <w:t xml:space="preserve">  </w:t>
            </w:r>
            <w:r>
              <w:rPr>
                <w:rFonts w:hint="eastAsia" w:ascii="仿宋" w:hAnsi="仿宋" w:eastAsia="仿宋" w:cs="仿宋"/>
                <w:color w:val="auto"/>
                <w:kern w:val="0"/>
                <w:szCs w:val="21"/>
                <w:highlight w:val="none"/>
              </w:rPr>
              <w:t>1、演示时间：</w:t>
            </w:r>
            <w:r>
              <w:rPr>
                <w:rFonts w:hint="eastAsia" w:ascii="仿宋" w:hAnsi="仿宋" w:eastAsia="仿宋" w:cs="仿宋"/>
                <w:bCs/>
                <w:color w:val="auto"/>
                <w:kern w:val="0"/>
                <w:szCs w:val="21"/>
                <w:highlight w:val="none"/>
                <w:u w:val="single"/>
              </w:rPr>
              <w:t xml:space="preserve">                          </w:t>
            </w:r>
          </w:p>
          <w:p>
            <w:pP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xml:space="preserve">     演示地点：</w:t>
            </w:r>
            <w:r>
              <w:rPr>
                <w:rFonts w:hint="eastAsia" w:ascii="仿宋" w:hAnsi="仿宋" w:eastAsia="仿宋" w:cs="仿宋"/>
                <w:bCs/>
                <w:color w:val="auto"/>
                <w:kern w:val="0"/>
                <w:szCs w:val="21"/>
                <w:highlight w:val="none"/>
                <w:u w:val="single"/>
              </w:rPr>
              <w:t xml:space="preserve">                          </w:t>
            </w:r>
          </w:p>
          <w:p>
            <w:pPr>
              <w:ind w:firstLine="210" w:firstLineChars="1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xml:space="preserve">   演示顺序：</w:t>
            </w:r>
            <w:r>
              <w:rPr>
                <w:rFonts w:hint="eastAsia" w:ascii="仿宋" w:hAnsi="仿宋" w:eastAsia="仿宋" w:cs="仿宋"/>
                <w:bCs/>
                <w:color w:val="auto"/>
                <w:kern w:val="0"/>
                <w:szCs w:val="21"/>
                <w:highlight w:val="none"/>
                <w:u w:val="single"/>
              </w:rPr>
              <w:t xml:space="preserve">                          </w:t>
            </w:r>
          </w:p>
          <w:p>
            <w:pPr>
              <w:ind w:firstLine="210" w:firstLineChars="1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2、演示要求：</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（内容、设备等要求）</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12.1</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投标报价货币要求</w:t>
            </w:r>
          </w:p>
        </w:tc>
        <w:tc>
          <w:tcPr>
            <w:tcW w:w="588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sym w:font="Wingdings 2" w:char="0052"/>
            </w:r>
            <w:r>
              <w:rPr>
                <w:rFonts w:hint="eastAsia" w:ascii="仿宋" w:hAnsi="仿宋" w:eastAsia="仿宋" w:cs="仿宋"/>
                <w:color w:val="auto"/>
                <w:kern w:val="0"/>
                <w:szCs w:val="21"/>
                <w:highlight w:val="none"/>
              </w:rPr>
              <w:t>所有投标均按</w:t>
            </w:r>
            <w:r>
              <w:rPr>
                <w:rFonts w:hint="eastAsia" w:ascii="仿宋" w:hAnsi="仿宋" w:eastAsia="仿宋" w:cs="仿宋"/>
                <w:color w:val="auto"/>
                <w:kern w:val="0"/>
                <w:szCs w:val="21"/>
                <w:highlight w:val="none"/>
                <w:u w:val="single"/>
              </w:rPr>
              <w:t xml:space="preserve"> </w:t>
            </w:r>
            <w:r>
              <w:rPr>
                <w:rFonts w:hint="eastAsia" w:ascii="仿宋" w:hAnsi="仿宋" w:cs="仿宋"/>
                <w:color w:val="auto"/>
                <w:kern w:val="0"/>
                <w:szCs w:val="21"/>
                <w:highlight w:val="none"/>
                <w:u w:val="single"/>
              </w:rPr>
              <w:t>人民币</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货币进行报价。</w:t>
            </w:r>
          </w:p>
          <w:p>
            <w:pPr>
              <w:rPr>
                <w:rFonts w:hint="eastAsia" w:ascii="仿宋" w:hAnsi="仿宋" w:eastAsia="仿宋" w:cs="仿宋"/>
                <w:color w:val="auto"/>
                <w:kern w:val="0"/>
                <w:szCs w:val="21"/>
                <w:highlight w:val="none"/>
                <w:u w:val="single"/>
              </w:rPr>
            </w:pPr>
            <w:r>
              <w:rPr>
                <w:rFonts w:hint="eastAsia" w:ascii="仿宋" w:hAnsi="仿宋" w:eastAsia="仿宋" w:cs="仿宋"/>
                <w:color w:val="auto"/>
                <w:kern w:val="0"/>
                <w:szCs w:val="21"/>
                <w:highlight w:val="none"/>
              </w:rPr>
              <w:sym w:font="Wingdings 2" w:char="00A3"/>
            </w:r>
            <w:r>
              <w:rPr>
                <w:rFonts w:hint="eastAsia" w:ascii="仿宋" w:hAnsi="仿宋" w:eastAsia="仿宋" w:cs="仿宋"/>
                <w:color w:val="auto"/>
                <w:kern w:val="0"/>
                <w:szCs w:val="21"/>
                <w:highlight w:val="none"/>
              </w:rPr>
              <w:t>其它：</w:t>
            </w:r>
            <w:r>
              <w:rPr>
                <w:rFonts w:hint="eastAsia" w:ascii="仿宋" w:hAnsi="仿宋" w:eastAsia="仿宋" w:cs="仿宋"/>
                <w:color w:val="auto"/>
                <w:kern w:val="0"/>
                <w:szCs w:val="21"/>
                <w:highlight w:val="none"/>
                <w:u w:val="single"/>
              </w:rPr>
              <w:t xml:space="preserve">               </w:t>
            </w:r>
          </w:p>
        </w:tc>
      </w:tr>
      <w:tr>
        <w:tblPrEx>
          <w:tblCellMar>
            <w:top w:w="0" w:type="dxa"/>
            <w:left w:w="108" w:type="dxa"/>
            <w:bottom w:w="0" w:type="dxa"/>
            <w:right w:w="108" w:type="dxa"/>
          </w:tblCellMar>
        </w:tblPrEx>
        <w:trPr>
          <w:trHeight w:val="3115" w:hRule="atLeast"/>
        </w:trPr>
        <w:tc>
          <w:tcPr>
            <w:tcW w:w="852" w:type="dxa"/>
            <w:tcBorders>
              <w:top w:val="single" w:color="auto" w:sz="4" w:space="0"/>
              <w:left w:val="single" w:color="auto" w:sz="8" w:space="0"/>
              <w:bottom w:val="single" w:color="auto" w:sz="8"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13.1</w:t>
            </w:r>
          </w:p>
        </w:tc>
        <w:tc>
          <w:tcPr>
            <w:tcW w:w="1917" w:type="dxa"/>
            <w:tcBorders>
              <w:top w:val="single" w:color="auto" w:sz="4" w:space="0"/>
              <w:left w:val="single" w:color="auto" w:sz="4" w:space="0"/>
              <w:bottom w:val="single" w:color="auto" w:sz="8" w:space="0"/>
              <w:right w:val="single" w:color="auto" w:sz="8"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投标保证金</w:t>
            </w:r>
          </w:p>
        </w:tc>
        <w:tc>
          <w:tcPr>
            <w:tcW w:w="5887" w:type="dxa"/>
            <w:tcBorders>
              <w:top w:val="single" w:color="auto" w:sz="4" w:space="0"/>
              <w:left w:val="nil"/>
              <w:bottom w:val="single" w:color="auto" w:sz="8" w:space="0"/>
              <w:right w:val="single" w:color="auto" w:sz="8" w:space="0"/>
            </w:tcBorders>
            <w:noWrap w:val="0"/>
            <w:vAlign w:val="center"/>
          </w:tcPr>
          <w:p>
            <w:pPr>
              <w:pStyle w:val="6"/>
              <w:rPr>
                <w:rFonts w:hint="eastAsia" w:ascii="仿宋" w:hAnsi="仿宋" w:cs="仿宋"/>
                <w:color w:val="auto"/>
                <w:kern w:val="0"/>
                <w:szCs w:val="21"/>
                <w:highlight w:val="none"/>
              </w:rPr>
            </w:pPr>
            <w:r>
              <w:rPr>
                <w:rFonts w:hint="eastAsia" w:ascii="仿宋" w:hAnsi="仿宋" w:cs="仿宋"/>
                <w:color w:val="auto"/>
                <w:kern w:val="0"/>
                <w:szCs w:val="21"/>
                <w:highlight w:val="none"/>
              </w:rPr>
              <w:t>1、投标保证金金额：</w:t>
            </w:r>
            <w:r>
              <w:rPr>
                <w:rFonts w:hint="eastAsia" w:ascii="仿宋" w:hAnsi="仿宋" w:cs="仿宋"/>
                <w:color w:val="auto"/>
                <w:kern w:val="0"/>
                <w:szCs w:val="21"/>
                <w:highlight w:val="none"/>
                <w:u w:val="single"/>
              </w:rPr>
              <w:t xml:space="preserve"> 001包：40000元</w:t>
            </w:r>
            <w:r>
              <w:rPr>
                <w:rFonts w:hint="eastAsia" w:ascii="仿宋" w:hAnsi="仿宋" w:cs="仿宋"/>
                <w:color w:val="auto"/>
                <w:kern w:val="0"/>
                <w:szCs w:val="21"/>
                <w:highlight w:val="none"/>
              </w:rPr>
              <w:t>；</w:t>
            </w:r>
            <w:r>
              <w:rPr>
                <w:rFonts w:hint="eastAsia" w:ascii="仿宋" w:hAnsi="仿宋" w:cs="仿宋"/>
                <w:color w:val="auto"/>
                <w:kern w:val="0"/>
                <w:szCs w:val="21"/>
                <w:highlight w:val="none"/>
                <w:u w:val="single"/>
              </w:rPr>
              <w:t>002包：40000元</w:t>
            </w:r>
          </w:p>
          <w:p>
            <w:pPr>
              <w:pStyle w:val="6"/>
              <w:rPr>
                <w:rFonts w:hint="eastAsia" w:ascii="仿宋" w:hAnsi="仿宋" w:cs="仿宋"/>
                <w:color w:val="auto"/>
                <w:kern w:val="0"/>
                <w:szCs w:val="21"/>
                <w:highlight w:val="none"/>
              </w:rPr>
            </w:pPr>
            <w:r>
              <w:rPr>
                <w:rFonts w:hint="eastAsia" w:ascii="仿宋" w:hAnsi="仿宋" w:cs="仿宋"/>
                <w:color w:val="auto"/>
                <w:kern w:val="0"/>
                <w:szCs w:val="21"/>
                <w:highlight w:val="none"/>
              </w:rPr>
              <w:t xml:space="preserve">2、投标保证金到账时间：递交投标文件截止时间前 </w:t>
            </w:r>
          </w:p>
          <w:p>
            <w:pPr>
              <w:pStyle w:val="6"/>
              <w:rPr>
                <w:rFonts w:ascii="仿宋" w:hAnsi="仿宋" w:cs="仿宋"/>
                <w:color w:val="auto"/>
                <w:kern w:val="0"/>
                <w:szCs w:val="21"/>
                <w:highlight w:val="none"/>
              </w:rPr>
            </w:pPr>
            <w:r>
              <w:rPr>
                <w:rFonts w:hint="eastAsia" w:ascii="仿宋" w:hAnsi="仿宋" w:cs="仿宋"/>
                <w:color w:val="auto"/>
                <w:kern w:val="0"/>
                <w:szCs w:val="21"/>
                <w:highlight w:val="none"/>
              </w:rPr>
              <w:t>3、投标保证金缴纳方式：☑保函   □支票  ☑电汇  □其他</w:t>
            </w:r>
          </w:p>
          <w:p>
            <w:pPr>
              <w:rPr>
                <w:rFonts w:hint="eastAsia" w:ascii="仿宋" w:hAnsi="仿宋" w:cs="仿宋"/>
                <w:color w:val="auto"/>
                <w:kern w:val="0"/>
                <w:szCs w:val="21"/>
                <w:highlight w:val="none"/>
              </w:rPr>
            </w:pPr>
            <w:r>
              <w:rPr>
                <w:rFonts w:hint="eastAsia" w:ascii="仿宋" w:hAnsi="仿宋" w:cs="仿宋"/>
                <w:color w:val="auto"/>
                <w:kern w:val="0"/>
                <w:szCs w:val="21"/>
                <w:highlight w:val="none"/>
              </w:rPr>
              <w:t>保证金收款人银行信息：</w:t>
            </w:r>
          </w:p>
          <w:p>
            <w:pPr>
              <w:rPr>
                <w:rFonts w:hint="eastAsia" w:ascii="仿宋" w:hAnsi="仿宋" w:cs="仿宋"/>
                <w:color w:val="auto"/>
                <w:kern w:val="0"/>
                <w:szCs w:val="21"/>
                <w:highlight w:val="none"/>
              </w:rPr>
            </w:pPr>
            <w:r>
              <w:rPr>
                <w:rFonts w:hint="eastAsia" w:ascii="仿宋" w:hAnsi="仿宋" w:cs="仿宋"/>
                <w:color w:val="auto"/>
                <w:kern w:val="0"/>
                <w:szCs w:val="21"/>
                <w:highlight w:val="none"/>
              </w:rPr>
              <w:t>开 户 名：海城市政务服务中心</w:t>
            </w:r>
          </w:p>
          <w:p>
            <w:pPr>
              <w:rPr>
                <w:rFonts w:hint="eastAsia" w:ascii="仿宋" w:hAnsi="仿宋" w:cs="仿宋"/>
                <w:color w:val="auto"/>
                <w:kern w:val="0"/>
                <w:szCs w:val="21"/>
                <w:highlight w:val="none"/>
              </w:rPr>
            </w:pPr>
            <w:r>
              <w:rPr>
                <w:rFonts w:hint="eastAsia" w:ascii="仿宋" w:hAnsi="仿宋" w:cs="仿宋"/>
                <w:color w:val="auto"/>
                <w:kern w:val="0"/>
                <w:szCs w:val="21"/>
                <w:highlight w:val="none"/>
              </w:rPr>
              <w:t>开 户 行：辽宁海城农村商业银行股份有限公司永隆分理处</w:t>
            </w:r>
          </w:p>
          <w:p>
            <w:pPr>
              <w:rPr>
                <w:rFonts w:hint="eastAsia" w:ascii="仿宋" w:hAnsi="仿宋" w:cs="仿宋"/>
                <w:color w:val="auto"/>
                <w:kern w:val="0"/>
                <w:szCs w:val="21"/>
                <w:highlight w:val="none"/>
              </w:rPr>
            </w:pPr>
            <w:r>
              <w:rPr>
                <w:rFonts w:hint="eastAsia" w:ascii="仿宋" w:hAnsi="仿宋" w:cs="仿宋"/>
                <w:color w:val="auto"/>
                <w:kern w:val="0"/>
                <w:szCs w:val="21"/>
                <w:highlight w:val="none"/>
              </w:rPr>
              <w:t>账    号：245112010100016280</w:t>
            </w:r>
          </w:p>
          <w:p>
            <w:pPr>
              <w:rPr>
                <w:rFonts w:hint="eastAsia" w:ascii="仿宋" w:hAnsi="仿宋" w:cs="仿宋"/>
                <w:color w:val="auto"/>
                <w:kern w:val="0"/>
                <w:szCs w:val="21"/>
                <w:highlight w:val="none"/>
              </w:rPr>
            </w:pPr>
            <w:r>
              <w:rPr>
                <w:rFonts w:hint="eastAsia" w:ascii="仿宋" w:hAnsi="仿宋" w:cs="仿宋"/>
                <w:color w:val="auto"/>
                <w:kern w:val="0"/>
                <w:szCs w:val="21"/>
                <w:highlight w:val="none"/>
              </w:rPr>
              <w:t>行    号：314223200771</w:t>
            </w:r>
          </w:p>
          <w:p>
            <w:pPr>
              <w:rPr>
                <w:rFonts w:hint="eastAsia" w:ascii="仿宋" w:hAnsi="仿宋" w:cs="仿宋"/>
                <w:color w:val="auto"/>
                <w:kern w:val="0"/>
                <w:szCs w:val="21"/>
                <w:highlight w:val="none"/>
              </w:rPr>
            </w:pPr>
            <w:r>
              <w:rPr>
                <w:rFonts w:hint="eastAsia" w:ascii="仿宋" w:hAnsi="仿宋" w:cs="仿宋"/>
                <w:color w:val="auto"/>
                <w:kern w:val="0"/>
                <w:szCs w:val="21"/>
                <w:highlight w:val="none"/>
              </w:rPr>
              <w:t xml:space="preserve">4、保证金退还方式：原方式退还 </w:t>
            </w:r>
          </w:p>
          <w:p>
            <w:pPr>
              <w:widowControl/>
              <w:jc w:val="left"/>
              <w:rPr>
                <w:rFonts w:hint="eastAsia" w:ascii="仿宋" w:hAnsi="仿宋" w:cs="仿宋"/>
                <w:color w:val="auto"/>
                <w:kern w:val="0"/>
                <w:szCs w:val="21"/>
                <w:highlight w:val="none"/>
              </w:rPr>
            </w:pPr>
            <w:r>
              <w:rPr>
                <w:rFonts w:hint="eastAsia" w:ascii="仿宋" w:hAnsi="仿宋" w:cs="仿宋"/>
                <w:color w:val="auto"/>
                <w:kern w:val="0"/>
                <w:szCs w:val="21"/>
                <w:highlight w:val="none"/>
              </w:rPr>
              <w:t>5、保证金退还咨询电话：</w:t>
            </w:r>
            <w:r>
              <w:rPr>
                <w:rFonts w:ascii="仿宋" w:hAnsi="仿宋" w:cs="仿宋"/>
                <w:color w:val="auto"/>
                <w:kern w:val="0"/>
                <w:szCs w:val="21"/>
                <w:highlight w:val="none"/>
                <w:lang w:bidi="ar"/>
              </w:rPr>
              <w:t>0412-2592001-825</w:t>
            </w:r>
            <w:r>
              <w:rPr>
                <w:rFonts w:hint="eastAsia" w:ascii="仿宋" w:hAnsi="仿宋" w:cs="仿宋"/>
                <w:color w:val="auto"/>
                <w:kern w:val="0"/>
                <w:szCs w:val="21"/>
                <w:highlight w:val="none"/>
              </w:rPr>
              <w:t xml:space="preserve"> </w:t>
            </w:r>
          </w:p>
          <w:p>
            <w:pPr>
              <w:rPr>
                <w:rFonts w:hint="eastAsia" w:ascii="仿宋" w:hAnsi="仿宋" w:cs="仿宋"/>
                <w:color w:val="auto"/>
                <w:kern w:val="0"/>
                <w:szCs w:val="21"/>
                <w:highlight w:val="none"/>
              </w:rPr>
            </w:pPr>
            <w:r>
              <w:rPr>
                <w:rFonts w:hint="eastAsia" w:ascii="仿宋" w:hAnsi="仿宋" w:cs="仿宋"/>
                <w:color w:val="auto"/>
                <w:kern w:val="0"/>
                <w:szCs w:val="21"/>
                <w:highlight w:val="none"/>
              </w:rPr>
              <w:t>6、其它：</w:t>
            </w:r>
          </w:p>
          <w:p>
            <w:pPr>
              <w:rPr>
                <w:rFonts w:hint="eastAsia" w:ascii="仿宋" w:hAnsi="仿宋" w:cs="仿宋"/>
                <w:color w:val="auto"/>
                <w:kern w:val="0"/>
                <w:szCs w:val="21"/>
                <w:highlight w:val="none"/>
              </w:rPr>
            </w:pPr>
            <w:r>
              <w:rPr>
                <w:rFonts w:hint="eastAsia" w:ascii="仿宋" w:hAnsi="仿宋" w:cs="仿宋"/>
                <w:color w:val="auto"/>
                <w:kern w:val="0"/>
                <w:szCs w:val="21"/>
                <w:highlight w:val="none"/>
              </w:rPr>
              <w:t>1）保证金必须从投标单位的基本账户转出，并应在递交投标（响应）文件截止时间前到达指定账户（递交投标（响应）保证金汇款凭证上需体现项目名称及项目编号（或者简写：项目名称+编号），转账凭证或电汇凭证或保函复印件需附于投标（响应）文件中否则将作无效处理。</w:t>
            </w:r>
          </w:p>
          <w:p>
            <w:pPr>
              <w:rPr>
                <w:rFonts w:hint="eastAsia" w:ascii="仿宋" w:hAnsi="仿宋" w:cs="仿宋"/>
                <w:color w:val="auto"/>
                <w:kern w:val="0"/>
                <w:szCs w:val="21"/>
                <w:highlight w:val="none"/>
              </w:rPr>
            </w:pPr>
            <w:r>
              <w:rPr>
                <w:rFonts w:hint="eastAsia" w:ascii="仿宋" w:hAnsi="仿宋" w:cs="仿宋"/>
                <w:color w:val="auto"/>
                <w:kern w:val="0"/>
                <w:szCs w:val="21"/>
                <w:highlight w:val="none"/>
              </w:rPr>
              <w:t>2）供应商电汇或转账后请自行确认保证金到账情况，如由供应商的原因而造成保证金未能及时到账的相关责任，由供应商自行负责。</w:t>
            </w:r>
          </w:p>
          <w:p>
            <w:pPr>
              <w:rPr>
                <w:rFonts w:hint="eastAsia" w:ascii="仿宋" w:hAnsi="仿宋" w:cs="仿宋"/>
                <w:color w:val="auto"/>
                <w:kern w:val="0"/>
                <w:szCs w:val="21"/>
                <w:highlight w:val="none"/>
              </w:rPr>
            </w:pPr>
            <w:r>
              <w:rPr>
                <w:rFonts w:hint="eastAsia" w:ascii="仿宋" w:hAnsi="仿宋" w:cs="仿宋"/>
                <w:color w:val="auto"/>
                <w:kern w:val="0"/>
                <w:szCs w:val="21"/>
                <w:highlight w:val="none"/>
              </w:rPr>
              <w:t>（电子保函使用有关事项如下：</w:t>
            </w:r>
          </w:p>
          <w:p>
            <w:pPr>
              <w:rPr>
                <w:rFonts w:hint="eastAsia" w:ascii="仿宋" w:hAnsi="仿宋" w:cs="仿宋"/>
                <w:color w:val="auto"/>
                <w:kern w:val="0"/>
                <w:szCs w:val="21"/>
                <w:highlight w:val="none"/>
              </w:rPr>
            </w:pPr>
            <w:r>
              <w:rPr>
                <w:rFonts w:hint="eastAsia" w:ascii="仿宋" w:hAnsi="仿宋" w:cs="仿宋"/>
                <w:color w:val="auto"/>
                <w:kern w:val="0"/>
                <w:szCs w:val="21"/>
                <w:highlight w:val="none"/>
              </w:rPr>
              <w:t>一、提供银行保函的，需在投标截止时间前4个工作日以上，登录申请。</w:t>
            </w:r>
          </w:p>
          <w:p>
            <w:pPr>
              <w:rPr>
                <w:rFonts w:ascii="仿宋" w:hAnsi="仿宋" w:cs="仿宋"/>
                <w:color w:val="auto"/>
                <w:kern w:val="0"/>
                <w:szCs w:val="21"/>
                <w:highlight w:val="none"/>
              </w:rPr>
            </w:pPr>
            <w:r>
              <w:rPr>
                <w:rFonts w:hint="eastAsia" w:ascii="仿宋" w:hAnsi="仿宋" w:cs="仿宋"/>
                <w:color w:val="auto"/>
                <w:kern w:val="0"/>
                <w:szCs w:val="21"/>
                <w:highlight w:val="none"/>
              </w:rPr>
              <w:t>二、使用电子保函提交保证金的，供应商</w:t>
            </w:r>
            <w:r>
              <w:rPr>
                <w:rFonts w:ascii="仿宋" w:hAnsi="仿宋" w:cs="仿宋"/>
                <w:color w:val="auto"/>
                <w:kern w:val="0"/>
                <w:szCs w:val="21"/>
                <w:highlight w:val="none"/>
              </w:rPr>
              <w:t>可在海城市公共资源交易网（</w:t>
            </w:r>
            <w:r>
              <w:rPr>
                <w:rFonts w:hint="eastAsia" w:ascii="仿宋" w:hAnsi="仿宋" w:cs="仿宋"/>
                <w:color w:val="auto"/>
                <w:kern w:val="0"/>
                <w:szCs w:val="21"/>
                <w:highlight w:val="none"/>
              </w:rPr>
              <w:t>www.hcsggzy.com</w:t>
            </w:r>
            <w:r>
              <w:rPr>
                <w:rFonts w:ascii="仿宋" w:hAnsi="仿宋" w:cs="仿宋"/>
                <w:color w:val="auto"/>
                <w:kern w:val="0"/>
                <w:szCs w:val="21"/>
                <w:highlight w:val="none"/>
              </w:rPr>
              <w:t>）左侧点击“申请保函”图标，页面自动跳转到申请界面，按流程提示完成申请办理电子保函，经审核通过生成保单后自行下载电子保函，放入</w:t>
            </w:r>
            <w:r>
              <w:rPr>
                <w:rFonts w:hint="eastAsia" w:ascii="仿宋" w:hAnsi="仿宋" w:cs="仿宋"/>
                <w:color w:val="auto"/>
                <w:kern w:val="0"/>
                <w:szCs w:val="21"/>
                <w:highlight w:val="none"/>
              </w:rPr>
              <w:t>响应</w:t>
            </w:r>
            <w:r>
              <w:rPr>
                <w:rFonts w:ascii="仿宋" w:hAnsi="仿宋" w:cs="仿宋"/>
                <w:color w:val="auto"/>
                <w:kern w:val="0"/>
                <w:szCs w:val="21"/>
                <w:highlight w:val="none"/>
              </w:rPr>
              <w:t>文件中。</w:t>
            </w:r>
          </w:p>
          <w:p>
            <w:pPr>
              <w:rPr>
                <w:rFonts w:hint="eastAsia" w:ascii="仿宋" w:hAnsi="仿宋" w:cs="仿宋"/>
                <w:color w:val="auto"/>
                <w:kern w:val="0"/>
                <w:szCs w:val="21"/>
                <w:highlight w:val="none"/>
              </w:rPr>
            </w:pPr>
            <w:r>
              <w:rPr>
                <w:rFonts w:hint="eastAsia" w:ascii="仿宋" w:hAnsi="仿宋" w:cs="仿宋"/>
                <w:color w:val="auto"/>
                <w:kern w:val="0"/>
                <w:szCs w:val="21"/>
                <w:highlight w:val="none"/>
              </w:rPr>
              <w:t>三、</w:t>
            </w:r>
            <w:r>
              <w:rPr>
                <w:rFonts w:ascii="仿宋" w:hAnsi="仿宋" w:cs="仿宋"/>
                <w:color w:val="auto"/>
                <w:kern w:val="0"/>
                <w:szCs w:val="21"/>
                <w:highlight w:val="none"/>
              </w:rPr>
              <w:t>电子保函业务在2020年8月14日正式开始使用，在申请过程中如有疑问可咨询技术支持电话：19941009292（同微信号）</w:t>
            </w:r>
            <w:r>
              <w:rPr>
                <w:rFonts w:hint="eastAsia" w:ascii="仿宋" w:hAnsi="仿宋" w:cs="仿宋"/>
                <w:color w:val="auto"/>
                <w:kern w:val="0"/>
                <w:szCs w:val="21"/>
                <w:highlight w:val="none"/>
              </w:rPr>
              <w:t xml:space="preserve">） </w:t>
            </w:r>
          </w:p>
          <w:p>
            <w:pPr>
              <w:rPr>
                <w:rFonts w:hint="eastAsia" w:ascii="仿宋" w:hAnsi="仿宋" w:eastAsia="仿宋" w:cs="仿宋"/>
                <w:color w:val="auto"/>
                <w:szCs w:val="21"/>
                <w:highlight w:val="none"/>
              </w:rPr>
            </w:pPr>
            <w:r>
              <w:rPr>
                <w:rFonts w:hint="eastAsia" w:ascii="仿宋_GB2312" w:hAnsi="仿宋_GB2312" w:eastAsia="仿宋_GB2312" w:cs="仿宋_GB2312"/>
                <w:b/>
                <w:bCs/>
                <w:color w:val="auto"/>
                <w:szCs w:val="21"/>
                <w:highlight w:val="none"/>
              </w:rPr>
              <w:t>（注：财政部门鼓励采用保函的方式递交投标保证金，具体办理流程参阅辽宁政府采购网）</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8" w:space="0"/>
              <w:bottom w:val="single" w:color="auto" w:sz="8"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15.1</w:t>
            </w:r>
          </w:p>
        </w:tc>
        <w:tc>
          <w:tcPr>
            <w:tcW w:w="1917" w:type="dxa"/>
            <w:tcBorders>
              <w:top w:val="single" w:color="auto" w:sz="4" w:space="0"/>
              <w:left w:val="single" w:color="auto" w:sz="4" w:space="0"/>
              <w:bottom w:val="single" w:color="auto" w:sz="8" w:space="0"/>
              <w:right w:val="single" w:color="auto" w:sz="8"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投标有效期</w:t>
            </w:r>
          </w:p>
        </w:tc>
        <w:tc>
          <w:tcPr>
            <w:tcW w:w="5887" w:type="dxa"/>
            <w:tcBorders>
              <w:top w:val="single" w:color="auto" w:sz="4" w:space="0"/>
              <w:left w:val="nil"/>
              <w:bottom w:val="single" w:color="auto" w:sz="8" w:space="0"/>
              <w:right w:val="single" w:color="auto" w:sz="8" w:space="0"/>
            </w:tcBorders>
            <w:noWrap w:val="0"/>
            <w:vAlign w:val="center"/>
          </w:tcPr>
          <w:p>
            <w:pPr>
              <w:pStyle w:val="6"/>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u w:val="single"/>
              </w:rPr>
              <w:t xml:space="preserve">  90  </w:t>
            </w:r>
            <w:r>
              <w:rPr>
                <w:rFonts w:hint="eastAsia" w:ascii="仿宋" w:hAnsi="仿宋" w:eastAsia="仿宋" w:cs="仿宋"/>
                <w:color w:val="auto"/>
                <w:kern w:val="0"/>
                <w:szCs w:val="21"/>
                <w:highlight w:val="none"/>
              </w:rPr>
              <w:t>日历日</w:t>
            </w:r>
          </w:p>
        </w:tc>
      </w:tr>
      <w:tr>
        <w:tblPrEx>
          <w:tblCellMar>
            <w:top w:w="0" w:type="dxa"/>
            <w:left w:w="108" w:type="dxa"/>
            <w:bottom w:w="0" w:type="dxa"/>
            <w:right w:w="108" w:type="dxa"/>
          </w:tblCellMar>
        </w:tblPrEx>
        <w:trPr>
          <w:trHeight w:val="641" w:hRule="atLeast"/>
        </w:trPr>
        <w:tc>
          <w:tcPr>
            <w:tcW w:w="852"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16.1</w:t>
            </w:r>
          </w:p>
        </w:tc>
        <w:tc>
          <w:tcPr>
            <w:tcW w:w="1917" w:type="dxa"/>
            <w:tcBorders>
              <w:top w:val="nil"/>
              <w:left w:val="single" w:color="auto" w:sz="4" w:space="0"/>
              <w:bottom w:val="single" w:color="auto" w:sz="4" w:space="0"/>
              <w:right w:val="single" w:color="auto" w:sz="8"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szCs w:val="21"/>
                <w:highlight w:val="none"/>
              </w:rPr>
              <w:t>投标文件及电子文档份数</w:t>
            </w:r>
          </w:p>
        </w:tc>
        <w:tc>
          <w:tcPr>
            <w:tcW w:w="5887" w:type="dxa"/>
            <w:tcBorders>
              <w:top w:val="nil"/>
              <w:left w:val="nil"/>
              <w:bottom w:val="single" w:color="auto" w:sz="4" w:space="0"/>
              <w:right w:val="single" w:color="auto" w:sz="8" w:space="0"/>
            </w:tcBorders>
            <w:noWrap w:val="0"/>
            <w:vAlign w:val="center"/>
          </w:tcPr>
          <w:p>
            <w:pPr>
              <w:widowControl/>
              <w:autoSpaceDE w:val="0"/>
              <w:autoSpaceDN w:val="0"/>
              <w:rPr>
                <w:rFonts w:hint="eastAsia" w:ascii="仿宋" w:hAnsi="仿宋" w:cs="仿宋"/>
                <w:color w:val="auto"/>
                <w:szCs w:val="21"/>
                <w:highlight w:val="none"/>
              </w:rPr>
            </w:pPr>
            <w:r>
              <w:rPr>
                <w:rFonts w:hint="eastAsia" w:ascii="仿宋" w:hAnsi="仿宋" w:cs="仿宋"/>
                <w:b/>
                <w:bCs/>
                <w:color w:val="auto"/>
                <w:szCs w:val="21"/>
                <w:highlight w:val="none"/>
              </w:rPr>
              <w:t>正本：线上电子投标文件1份</w:t>
            </w:r>
            <w:r>
              <w:rPr>
                <w:rFonts w:hint="eastAsia" w:ascii="仿宋" w:hAnsi="仿宋" w:cs="仿宋"/>
                <w:color w:val="auto"/>
                <w:szCs w:val="21"/>
                <w:highlight w:val="none"/>
              </w:rPr>
              <w:t>（线上上传的电子响应文件须按辽宁政府采购网“办事指南”中“辽宁政府采购网新版系统供应商操作手册”及“辽宁省政府采购网制作电子标书操作手册”要求进行编制，电子文件须按规定盖章签字）</w:t>
            </w:r>
          </w:p>
          <w:p>
            <w:pPr>
              <w:widowControl/>
              <w:autoSpaceDE w:val="0"/>
              <w:autoSpaceDN w:val="0"/>
              <w:rPr>
                <w:rFonts w:hint="eastAsia" w:ascii="仿宋" w:hAnsi="仿宋" w:cs="仿宋"/>
                <w:color w:val="auto"/>
                <w:szCs w:val="21"/>
                <w:highlight w:val="none"/>
              </w:rPr>
            </w:pPr>
            <w:r>
              <w:rPr>
                <w:rFonts w:hint="eastAsia" w:ascii="仿宋" w:hAnsi="仿宋" w:cs="仿宋"/>
                <w:b/>
                <w:bCs/>
                <w:color w:val="auto"/>
                <w:szCs w:val="21"/>
                <w:highlight w:val="none"/>
              </w:rPr>
              <w:t>电子备份文件：1份。</w:t>
            </w:r>
            <w:r>
              <w:rPr>
                <w:rFonts w:hint="eastAsia" w:ascii="仿宋" w:hAnsi="仿宋" w:cs="仿宋"/>
                <w:color w:val="auto"/>
                <w:szCs w:val="21"/>
                <w:highlight w:val="none"/>
              </w:rPr>
              <w:t>供应商除在电子评审系统上传投标（响应）文件外，应在递交投标（响应）文件截止时间前提交按采购文件规定的以介质形式可加密备份文件发送至954978974@qq.com，邮件主题注明“项目编号+所投包号+联系方式”，并承诺备份文件与电子评审系统中上传的投标（响应）文件内容、格式一致，备系统突发故障使用。供应商仅提交备份文件的，投标（响应）无效。备份文件应在递交投标（响应）文件截止时间前提交加密备份文件。可通过现场递交或以电子邮件的形式提交加密备份文件，逾期提交（电子邮件形式以邮件接收时间为准）或未进行加密造成响应失败，责任由供应商自行承担。</w:t>
            </w:r>
          </w:p>
          <w:p>
            <w:pPr>
              <w:widowControl/>
              <w:rPr>
                <w:rFonts w:hint="eastAsia" w:ascii="仿宋" w:hAnsi="仿宋" w:cs="仿宋"/>
                <w:color w:val="auto"/>
                <w:szCs w:val="21"/>
                <w:highlight w:val="none"/>
              </w:rPr>
            </w:pPr>
            <w:r>
              <w:rPr>
                <w:rFonts w:hint="eastAsia" w:ascii="仿宋" w:hAnsi="仿宋" w:cs="仿宋"/>
                <w:color w:val="auto"/>
                <w:szCs w:val="21"/>
                <w:highlight w:val="none"/>
              </w:rPr>
              <w:t>中标（成交）供应商须在中标（成交）结果公布后给代理机构提供纸质响应文件三份（一正二副），纸质响应文件须与网络上传版响应文件一致，如果不一致，以网络上传版响应文件为准。</w:t>
            </w:r>
          </w:p>
        </w:tc>
      </w:tr>
      <w:tr>
        <w:tblPrEx>
          <w:tblCellMar>
            <w:top w:w="0" w:type="dxa"/>
            <w:left w:w="108" w:type="dxa"/>
            <w:bottom w:w="0" w:type="dxa"/>
            <w:right w:w="108" w:type="dxa"/>
          </w:tblCellMar>
        </w:tblPrEx>
        <w:trPr>
          <w:trHeight w:val="631" w:hRule="atLeast"/>
        </w:trPr>
        <w:tc>
          <w:tcPr>
            <w:tcW w:w="852"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18.1</w:t>
            </w:r>
          </w:p>
        </w:tc>
        <w:tc>
          <w:tcPr>
            <w:tcW w:w="1917" w:type="dxa"/>
            <w:tcBorders>
              <w:top w:val="nil"/>
              <w:left w:val="single" w:color="auto" w:sz="4" w:space="0"/>
              <w:bottom w:val="single" w:color="auto" w:sz="4" w:space="0"/>
              <w:right w:val="single" w:color="auto" w:sz="8" w:space="0"/>
            </w:tcBorders>
            <w:noWrap w:val="0"/>
            <w:vAlign w:val="center"/>
          </w:tcPr>
          <w:p>
            <w:pPr>
              <w:widowControl/>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递交投标文件截止时间、地点</w:t>
            </w:r>
          </w:p>
        </w:tc>
        <w:tc>
          <w:tcPr>
            <w:tcW w:w="5887" w:type="dxa"/>
            <w:tcBorders>
              <w:top w:val="nil"/>
              <w:left w:val="nil"/>
              <w:bottom w:val="single" w:color="auto" w:sz="4" w:space="0"/>
              <w:right w:val="single" w:color="auto" w:sz="8" w:space="0"/>
            </w:tcBorders>
            <w:noWrap w:val="0"/>
            <w:vAlign w:val="center"/>
          </w:tcPr>
          <w:p>
            <w:pPr>
              <w:widowControl/>
              <w:rPr>
                <w:rFonts w:hint="eastAsia" w:ascii="仿宋" w:hAnsi="仿宋" w:cs="仿宋"/>
                <w:color w:val="auto"/>
                <w:kern w:val="0"/>
                <w:szCs w:val="21"/>
                <w:highlight w:val="none"/>
              </w:rPr>
            </w:pPr>
            <w:r>
              <w:rPr>
                <w:rFonts w:hint="eastAsia" w:ascii="仿宋" w:hAnsi="仿宋" w:cs="仿宋"/>
                <w:color w:val="auto"/>
                <w:kern w:val="0"/>
                <w:szCs w:val="21"/>
                <w:highlight w:val="none"/>
              </w:rPr>
              <w:t>详见招标公告，以招标公告规定时间、地点为准。</w:t>
            </w:r>
          </w:p>
          <w:p>
            <w:pPr>
              <w:widowControl/>
              <w:jc w:val="left"/>
              <w:rPr>
                <w:color w:val="auto"/>
                <w:highlight w:val="none"/>
              </w:rPr>
            </w:pPr>
            <w:r>
              <w:rPr>
                <w:rFonts w:hint="eastAsia" w:ascii="仿宋" w:hAnsi="仿宋" w:cs="仿宋"/>
                <w:b/>
                <w:bCs/>
                <w:color w:val="auto"/>
                <w:kern w:val="0"/>
                <w:szCs w:val="21"/>
                <w:highlight w:val="none"/>
                <w:lang w:bidi="ar"/>
              </w:rPr>
              <w:t>腾讯会议号：296-124-580</w:t>
            </w:r>
          </w:p>
          <w:p>
            <w:pPr>
              <w:widowControl/>
              <w:jc w:val="left"/>
              <w:rPr>
                <w:color w:val="auto"/>
                <w:highlight w:val="none"/>
              </w:rPr>
            </w:pPr>
            <w:r>
              <w:rPr>
                <w:rFonts w:ascii="仿宋" w:hAnsi="仿宋" w:cs="仿宋"/>
                <w:color w:val="auto"/>
                <w:kern w:val="0"/>
                <w:szCs w:val="21"/>
                <w:highlight w:val="none"/>
                <w:lang w:bidi="ar"/>
              </w:rPr>
              <w:t xml:space="preserve">1）开标会议当日应保证法定代表人（或非法人组织负责人） </w:t>
            </w:r>
          </w:p>
          <w:p>
            <w:pPr>
              <w:widowControl/>
              <w:jc w:val="left"/>
              <w:rPr>
                <w:color w:val="auto"/>
                <w:highlight w:val="none"/>
              </w:rPr>
            </w:pPr>
            <w:r>
              <w:rPr>
                <w:rFonts w:hint="eastAsia" w:ascii="仿宋" w:hAnsi="仿宋" w:cs="仿宋"/>
                <w:color w:val="auto"/>
                <w:kern w:val="0"/>
                <w:szCs w:val="21"/>
                <w:highlight w:val="none"/>
                <w:lang w:bidi="ar"/>
              </w:rPr>
              <w:t xml:space="preserve">或其授权代表人通讯畅通，评审、答疑采用远程（座机电话开 </w:t>
            </w:r>
          </w:p>
          <w:p>
            <w:pPr>
              <w:widowControl/>
              <w:jc w:val="left"/>
              <w:rPr>
                <w:color w:val="auto"/>
                <w:highlight w:val="none"/>
              </w:rPr>
            </w:pPr>
            <w:r>
              <w:rPr>
                <w:rFonts w:hint="eastAsia" w:ascii="仿宋" w:hAnsi="仿宋" w:cs="仿宋"/>
                <w:color w:val="auto"/>
                <w:kern w:val="0"/>
                <w:szCs w:val="21"/>
                <w:highlight w:val="none"/>
                <w:lang w:bidi="ar"/>
              </w:rPr>
              <w:t xml:space="preserve">免提方式），评审全程录音录像。 </w:t>
            </w:r>
          </w:p>
          <w:p>
            <w:pPr>
              <w:widowControl/>
              <w:jc w:val="left"/>
              <w:rPr>
                <w:color w:val="auto"/>
                <w:highlight w:val="none"/>
              </w:rPr>
            </w:pPr>
            <w:r>
              <w:rPr>
                <w:rFonts w:hint="eastAsia" w:ascii="仿宋" w:hAnsi="仿宋" w:cs="仿宋"/>
                <w:color w:val="auto"/>
                <w:kern w:val="0"/>
                <w:szCs w:val="21"/>
                <w:highlight w:val="none"/>
                <w:lang w:bidi="ar"/>
              </w:rPr>
              <w:t xml:space="preserve">2）本项目采用视频会议的方式（腾讯会议），参与的投标人 </w:t>
            </w:r>
          </w:p>
          <w:p>
            <w:pPr>
              <w:widowControl/>
              <w:jc w:val="left"/>
              <w:rPr>
                <w:color w:val="auto"/>
                <w:highlight w:val="none"/>
              </w:rPr>
            </w:pPr>
            <w:r>
              <w:rPr>
                <w:rFonts w:hint="eastAsia" w:ascii="仿宋" w:hAnsi="仿宋" w:cs="仿宋"/>
                <w:color w:val="auto"/>
                <w:kern w:val="0"/>
                <w:szCs w:val="21"/>
                <w:highlight w:val="none"/>
                <w:lang w:bidi="ar"/>
              </w:rPr>
              <w:t xml:space="preserve">可使用“腾讯会议”APP 收看网上直播，投标人的法定代表人 </w:t>
            </w:r>
          </w:p>
          <w:p>
            <w:pPr>
              <w:widowControl/>
              <w:jc w:val="left"/>
              <w:rPr>
                <w:color w:val="auto"/>
                <w:highlight w:val="none"/>
              </w:rPr>
            </w:pPr>
            <w:r>
              <w:rPr>
                <w:rFonts w:hint="eastAsia" w:ascii="仿宋" w:hAnsi="仿宋" w:cs="仿宋"/>
                <w:color w:val="auto"/>
                <w:kern w:val="0"/>
                <w:szCs w:val="21"/>
                <w:highlight w:val="none"/>
                <w:lang w:bidi="ar"/>
              </w:rPr>
              <w:t>（或非法人组织负责人）或授委托人应下载“腾讯会议”APP</w:t>
            </w:r>
          </w:p>
          <w:p>
            <w:pPr>
              <w:widowControl/>
              <w:jc w:val="left"/>
              <w:rPr>
                <w:color w:val="auto"/>
                <w:highlight w:val="none"/>
              </w:rPr>
            </w:pPr>
            <w:r>
              <w:rPr>
                <w:rFonts w:ascii="仿宋" w:hAnsi="仿宋" w:cs="仿宋"/>
                <w:color w:val="auto"/>
                <w:kern w:val="0"/>
                <w:szCs w:val="21"/>
                <w:highlight w:val="none"/>
                <w:lang w:bidi="ar"/>
              </w:rPr>
              <w:t>并注册，投标人须在开标会议时间前进入会议并将名</w:t>
            </w:r>
            <w:r>
              <w:rPr>
                <w:rFonts w:hint="eastAsia" w:ascii="仿宋" w:hAnsi="仿宋" w:cs="仿宋"/>
                <w:color w:val="auto"/>
                <w:kern w:val="0"/>
                <w:szCs w:val="21"/>
                <w:highlight w:val="none"/>
                <w:lang w:bidi="ar"/>
              </w:rPr>
              <w:t xml:space="preserve">称更改为投标人单位名称；  </w:t>
            </w:r>
          </w:p>
          <w:p>
            <w:pPr>
              <w:widowControl/>
              <w:jc w:val="left"/>
              <w:rPr>
                <w:color w:val="auto"/>
                <w:highlight w:val="none"/>
              </w:rPr>
            </w:pPr>
            <w:r>
              <w:rPr>
                <w:rFonts w:hint="eastAsia" w:ascii="仿宋" w:hAnsi="仿宋" w:cs="仿宋"/>
                <w:color w:val="auto"/>
                <w:kern w:val="0"/>
                <w:szCs w:val="21"/>
                <w:highlight w:val="none"/>
                <w:lang w:bidi="ar"/>
              </w:rPr>
              <w:t xml:space="preserve">3）在开标会议开始时，投标人的法定代表人（或非法人组织 </w:t>
            </w:r>
          </w:p>
          <w:p>
            <w:pPr>
              <w:widowControl/>
              <w:jc w:val="left"/>
              <w:rPr>
                <w:color w:val="auto"/>
                <w:highlight w:val="none"/>
              </w:rPr>
            </w:pPr>
            <w:r>
              <w:rPr>
                <w:rFonts w:hint="eastAsia" w:ascii="仿宋" w:hAnsi="仿宋" w:cs="仿宋"/>
                <w:color w:val="auto"/>
                <w:kern w:val="0"/>
                <w:szCs w:val="21"/>
                <w:highlight w:val="none"/>
                <w:lang w:bidi="ar"/>
              </w:rPr>
              <w:t xml:space="preserve">负 责 人 ） 或 授 权 代 表 人 须 在 辽 宁 政 府 采 购 网 （http://www.ccgp-liaoning.gov.cn）对电子投标文件进行解密，暂定解密时间为30分钟，不接受其他方式解密。如因 </w:t>
            </w:r>
          </w:p>
          <w:p>
            <w:pPr>
              <w:widowControl/>
              <w:jc w:val="left"/>
              <w:rPr>
                <w:color w:val="auto"/>
                <w:highlight w:val="none"/>
              </w:rPr>
            </w:pPr>
            <w:r>
              <w:rPr>
                <w:rFonts w:hint="eastAsia" w:ascii="仿宋" w:hAnsi="仿宋" w:cs="仿宋"/>
                <w:color w:val="auto"/>
                <w:kern w:val="0"/>
                <w:szCs w:val="21"/>
                <w:highlight w:val="none"/>
                <w:lang w:bidi="ar"/>
              </w:rPr>
              <w:t xml:space="preserve">投标人自身原因造成投标文件未在规定时间内解密的，视为放 </w:t>
            </w:r>
          </w:p>
          <w:p>
            <w:pPr>
              <w:widowControl/>
              <w:jc w:val="left"/>
              <w:rPr>
                <w:color w:val="auto"/>
                <w:highlight w:val="none"/>
              </w:rPr>
            </w:pPr>
            <w:r>
              <w:rPr>
                <w:rFonts w:hint="eastAsia" w:ascii="仿宋" w:hAnsi="仿宋" w:cs="仿宋"/>
                <w:color w:val="auto"/>
                <w:kern w:val="0"/>
                <w:szCs w:val="21"/>
                <w:highlight w:val="none"/>
                <w:lang w:bidi="ar"/>
              </w:rPr>
              <w:t xml:space="preserve">弃响应。 </w:t>
            </w:r>
          </w:p>
          <w:p>
            <w:pPr>
              <w:widowControl/>
              <w:jc w:val="left"/>
              <w:rPr>
                <w:color w:val="auto"/>
                <w:highlight w:val="none"/>
              </w:rPr>
            </w:pPr>
            <w:r>
              <w:rPr>
                <w:rFonts w:hint="eastAsia" w:ascii="仿宋" w:hAnsi="仿宋" w:cs="仿宋"/>
                <w:color w:val="auto"/>
                <w:kern w:val="0"/>
                <w:szCs w:val="21"/>
                <w:highlight w:val="none"/>
                <w:lang w:bidi="ar"/>
              </w:rPr>
              <w:t xml:space="preserve">4）投标人未出席开标会议，投标人视为默认认同开标会议所 </w:t>
            </w:r>
          </w:p>
          <w:p>
            <w:pPr>
              <w:widowControl/>
              <w:jc w:val="left"/>
              <w:rPr>
                <w:color w:val="auto"/>
                <w:highlight w:val="none"/>
              </w:rPr>
            </w:pPr>
            <w:r>
              <w:rPr>
                <w:rFonts w:hint="eastAsia" w:ascii="仿宋" w:hAnsi="仿宋" w:cs="仿宋"/>
                <w:color w:val="auto"/>
                <w:kern w:val="0"/>
                <w:szCs w:val="21"/>
                <w:highlight w:val="none"/>
                <w:lang w:bidi="ar"/>
              </w:rPr>
              <w:t xml:space="preserve">有程序，相关投标人不得事后对开标会议的所有程序提出任何 </w:t>
            </w:r>
          </w:p>
          <w:p>
            <w:pPr>
              <w:widowControl/>
              <w:jc w:val="left"/>
              <w:rPr>
                <w:color w:val="auto"/>
                <w:highlight w:val="none"/>
              </w:rPr>
            </w:pPr>
            <w:r>
              <w:rPr>
                <w:rFonts w:hint="eastAsia" w:ascii="仿宋" w:hAnsi="仿宋" w:cs="仿宋"/>
                <w:color w:val="auto"/>
                <w:kern w:val="0"/>
                <w:szCs w:val="21"/>
                <w:highlight w:val="none"/>
                <w:lang w:bidi="ar"/>
              </w:rPr>
              <w:t xml:space="preserve">异议。 </w:t>
            </w:r>
          </w:p>
          <w:p>
            <w:pPr>
              <w:widowControl/>
              <w:jc w:val="left"/>
              <w:rPr>
                <w:color w:val="auto"/>
                <w:highlight w:val="none"/>
              </w:rPr>
            </w:pPr>
            <w:r>
              <w:rPr>
                <w:rFonts w:hint="eastAsia" w:ascii="仿宋" w:hAnsi="仿宋" w:cs="仿宋"/>
                <w:color w:val="auto"/>
                <w:kern w:val="0"/>
                <w:szCs w:val="21"/>
                <w:highlight w:val="none"/>
                <w:lang w:bidi="ar"/>
              </w:rPr>
              <w:t xml:space="preserve">5）开标会议过程中需要投标人签字确认的相关表格采用现场 </w:t>
            </w:r>
          </w:p>
          <w:p>
            <w:pPr>
              <w:widowControl/>
              <w:jc w:val="left"/>
              <w:rPr>
                <w:color w:val="auto"/>
                <w:highlight w:val="none"/>
              </w:rPr>
            </w:pPr>
            <w:r>
              <w:rPr>
                <w:rFonts w:hint="eastAsia" w:ascii="仿宋" w:hAnsi="仿宋" w:cs="仿宋"/>
                <w:color w:val="auto"/>
                <w:kern w:val="0"/>
                <w:szCs w:val="21"/>
                <w:highlight w:val="none"/>
                <w:lang w:bidi="ar"/>
              </w:rPr>
              <w:t xml:space="preserve">语音确认的方式，代理机构将如实记录相关内容，为减轻各投 </w:t>
            </w:r>
          </w:p>
          <w:p>
            <w:pPr>
              <w:widowControl/>
              <w:jc w:val="left"/>
              <w:rPr>
                <w:color w:val="auto"/>
                <w:highlight w:val="none"/>
              </w:rPr>
            </w:pPr>
            <w:r>
              <w:rPr>
                <w:rFonts w:hint="eastAsia" w:ascii="仿宋" w:hAnsi="仿宋" w:cs="仿宋"/>
                <w:color w:val="auto"/>
                <w:kern w:val="0"/>
                <w:szCs w:val="21"/>
                <w:highlight w:val="none"/>
                <w:lang w:bidi="ar"/>
              </w:rPr>
              <w:t xml:space="preserve">标人负担，将不再要求投标人在纸质表格上签字确认。 </w:t>
            </w:r>
          </w:p>
          <w:p>
            <w:pPr>
              <w:widowControl/>
              <w:jc w:val="left"/>
              <w:rPr>
                <w:color w:val="auto"/>
                <w:highlight w:val="none"/>
              </w:rPr>
            </w:pPr>
            <w:r>
              <w:rPr>
                <w:rFonts w:hint="eastAsia" w:ascii="仿宋" w:hAnsi="仿宋" w:cs="仿宋"/>
                <w:color w:val="auto"/>
                <w:kern w:val="0"/>
                <w:szCs w:val="21"/>
                <w:highlight w:val="none"/>
                <w:lang w:bidi="ar"/>
              </w:rPr>
              <w:t xml:space="preserve">6）开标会议过程中请各投标人授权代表保持通讯方式的畅通， </w:t>
            </w:r>
          </w:p>
          <w:p>
            <w:pPr>
              <w:widowControl/>
              <w:jc w:val="left"/>
              <w:rPr>
                <w:color w:val="auto"/>
                <w:highlight w:val="none"/>
              </w:rPr>
            </w:pPr>
            <w:r>
              <w:rPr>
                <w:rFonts w:hint="eastAsia" w:ascii="仿宋" w:hAnsi="仿宋" w:cs="仿宋"/>
                <w:color w:val="auto"/>
                <w:kern w:val="0"/>
                <w:szCs w:val="21"/>
                <w:highlight w:val="none"/>
                <w:lang w:bidi="ar"/>
              </w:rPr>
              <w:t xml:space="preserve">若因投标人自身原因导致无法取得联系的，视为投标人认可相 </w:t>
            </w:r>
          </w:p>
          <w:p>
            <w:pPr>
              <w:widowControl/>
              <w:rPr>
                <w:rFonts w:hint="eastAsia" w:ascii="仿宋" w:hAnsi="仿宋" w:eastAsia="仿宋" w:cs="仿宋"/>
                <w:color w:val="auto"/>
                <w:kern w:val="0"/>
                <w:szCs w:val="21"/>
                <w:highlight w:val="none"/>
                <w:u w:val="single"/>
              </w:rPr>
            </w:pPr>
            <w:r>
              <w:rPr>
                <w:rFonts w:hint="eastAsia" w:ascii="仿宋" w:hAnsi="仿宋" w:cs="仿宋"/>
                <w:color w:val="auto"/>
                <w:kern w:val="0"/>
                <w:szCs w:val="21"/>
                <w:highlight w:val="none"/>
                <w:lang w:bidi="ar"/>
              </w:rPr>
              <w:t>关内容。</w:t>
            </w:r>
            <w:r>
              <w:rPr>
                <w:rFonts w:hint="eastAsia" w:ascii="仿宋" w:hAnsi="仿宋" w:cs="仿宋"/>
                <w:b/>
                <w:bCs/>
                <w:color w:val="auto"/>
                <w:kern w:val="0"/>
                <w:szCs w:val="21"/>
                <w:highlight w:val="none"/>
                <w:lang w:bidi="ar"/>
              </w:rPr>
              <w:t xml:space="preserve"> </w:t>
            </w:r>
          </w:p>
        </w:tc>
      </w:tr>
      <w:tr>
        <w:tblPrEx>
          <w:tblCellMar>
            <w:top w:w="0" w:type="dxa"/>
            <w:left w:w="108" w:type="dxa"/>
            <w:bottom w:w="0" w:type="dxa"/>
            <w:right w:w="108" w:type="dxa"/>
          </w:tblCellMar>
        </w:tblPrEx>
        <w:trPr>
          <w:trHeight w:val="613" w:hRule="atLeast"/>
        </w:trPr>
        <w:tc>
          <w:tcPr>
            <w:tcW w:w="852"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20.1</w:t>
            </w:r>
          </w:p>
        </w:tc>
        <w:tc>
          <w:tcPr>
            <w:tcW w:w="1917" w:type="dxa"/>
            <w:tcBorders>
              <w:top w:val="nil"/>
              <w:left w:val="single" w:color="auto" w:sz="4" w:space="0"/>
              <w:bottom w:val="single" w:color="auto" w:sz="4" w:space="0"/>
              <w:right w:val="single" w:color="auto" w:sz="8" w:space="0"/>
            </w:tcBorders>
            <w:noWrap w:val="0"/>
            <w:vAlign w:val="center"/>
          </w:tcPr>
          <w:p>
            <w:pPr>
              <w:widowControl/>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开标时间、地点</w:t>
            </w:r>
          </w:p>
        </w:tc>
        <w:tc>
          <w:tcPr>
            <w:tcW w:w="5887" w:type="dxa"/>
            <w:tcBorders>
              <w:top w:val="nil"/>
              <w:left w:val="nil"/>
              <w:bottom w:val="single" w:color="auto" w:sz="4" w:space="0"/>
              <w:right w:val="single" w:color="auto" w:sz="8" w:space="0"/>
            </w:tcBorders>
            <w:noWrap w:val="0"/>
            <w:vAlign w:val="center"/>
          </w:tcPr>
          <w:p>
            <w:pPr>
              <w:widowControl/>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详见招标公告，以招标公告规定时间、地点为准。</w:t>
            </w:r>
          </w:p>
        </w:tc>
      </w:tr>
      <w:tr>
        <w:tblPrEx>
          <w:tblCellMar>
            <w:top w:w="0" w:type="dxa"/>
            <w:left w:w="108" w:type="dxa"/>
            <w:bottom w:w="0" w:type="dxa"/>
            <w:right w:w="108" w:type="dxa"/>
          </w:tblCellMar>
        </w:tblPrEx>
        <w:trPr>
          <w:trHeight w:val="613" w:hRule="atLeast"/>
        </w:trPr>
        <w:tc>
          <w:tcPr>
            <w:tcW w:w="852"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21</w:t>
            </w:r>
          </w:p>
        </w:tc>
        <w:tc>
          <w:tcPr>
            <w:tcW w:w="1917" w:type="dxa"/>
            <w:tcBorders>
              <w:top w:val="nil"/>
              <w:left w:val="single" w:color="auto" w:sz="4" w:space="0"/>
              <w:bottom w:val="single" w:color="auto" w:sz="4" w:space="0"/>
              <w:right w:val="single" w:color="auto" w:sz="8" w:space="0"/>
            </w:tcBorders>
            <w:noWrap w:val="0"/>
            <w:vAlign w:val="center"/>
          </w:tcPr>
          <w:p>
            <w:pPr>
              <w:widowControl/>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评标委员会组成</w:t>
            </w:r>
          </w:p>
        </w:tc>
        <w:tc>
          <w:tcPr>
            <w:tcW w:w="5887" w:type="dxa"/>
            <w:tcBorders>
              <w:top w:val="nil"/>
              <w:left w:val="nil"/>
              <w:bottom w:val="single" w:color="auto" w:sz="4" w:space="0"/>
              <w:right w:val="single" w:color="auto" w:sz="8" w:space="0"/>
            </w:tcBorders>
            <w:noWrap w:val="0"/>
            <w:vAlign w:val="center"/>
          </w:tcPr>
          <w:p>
            <w:pPr>
              <w:widowControl/>
              <w:rPr>
                <w:rFonts w:hint="eastAsia" w:ascii="仿宋" w:hAnsi="仿宋" w:eastAsia="仿宋" w:cs="仿宋"/>
                <w:color w:val="auto"/>
                <w:kern w:val="0"/>
                <w:szCs w:val="21"/>
                <w:highlight w:val="none"/>
              </w:rPr>
            </w:pPr>
            <w:r>
              <w:rPr>
                <w:rFonts w:hint="eastAsia" w:ascii="仿宋" w:hAnsi="仿宋" w:cs="仿宋"/>
                <w:color w:val="auto"/>
                <w:szCs w:val="21"/>
                <w:highlight w:val="none"/>
              </w:rPr>
              <w:t>评标委员会由采购人代表</w:t>
            </w:r>
            <w:r>
              <w:rPr>
                <w:rFonts w:hint="eastAsia" w:ascii="仿宋" w:hAnsi="仿宋" w:cs="仿宋"/>
                <w:color w:val="auto"/>
                <w:szCs w:val="21"/>
                <w:highlight w:val="none"/>
                <w:u w:val="single"/>
              </w:rPr>
              <w:t xml:space="preserve"> 1 </w:t>
            </w:r>
            <w:r>
              <w:rPr>
                <w:rFonts w:hint="eastAsia" w:ascii="仿宋" w:hAnsi="仿宋" w:cs="仿宋"/>
                <w:color w:val="auto"/>
                <w:szCs w:val="21"/>
                <w:highlight w:val="none"/>
              </w:rPr>
              <w:t>人，评审专家</w:t>
            </w:r>
            <w:r>
              <w:rPr>
                <w:rFonts w:hint="eastAsia" w:ascii="仿宋" w:hAnsi="仿宋" w:cs="仿宋"/>
                <w:color w:val="auto"/>
                <w:szCs w:val="21"/>
                <w:highlight w:val="none"/>
                <w:u w:val="single"/>
              </w:rPr>
              <w:t xml:space="preserve"> 4 </w:t>
            </w:r>
            <w:r>
              <w:rPr>
                <w:rFonts w:hint="eastAsia" w:ascii="仿宋" w:hAnsi="仿宋" w:cs="仿宋"/>
                <w:color w:val="auto"/>
                <w:szCs w:val="21"/>
                <w:highlight w:val="none"/>
              </w:rPr>
              <w:t>人组成，共</w:t>
            </w:r>
            <w:r>
              <w:rPr>
                <w:rFonts w:hint="eastAsia" w:ascii="仿宋" w:hAnsi="仿宋" w:cs="仿宋"/>
                <w:color w:val="auto"/>
                <w:szCs w:val="21"/>
                <w:highlight w:val="none"/>
                <w:u w:val="single"/>
              </w:rPr>
              <w:t xml:space="preserve"> 5 </w:t>
            </w:r>
            <w:r>
              <w:rPr>
                <w:rFonts w:hint="eastAsia" w:ascii="仿宋" w:hAnsi="仿宋" w:cs="仿宋"/>
                <w:color w:val="auto"/>
                <w:szCs w:val="21"/>
                <w:highlight w:val="none"/>
              </w:rPr>
              <w:t xml:space="preserve">人。 </w:t>
            </w:r>
            <w:r>
              <w:rPr>
                <w:rFonts w:hint="eastAsia" w:ascii="仿宋" w:hAnsi="仿宋" w:eastAsia="仿宋" w:cs="仿宋"/>
                <w:color w:val="auto"/>
                <w:szCs w:val="21"/>
                <w:highlight w:val="none"/>
              </w:rPr>
              <w:t xml:space="preserve"> </w:t>
            </w:r>
          </w:p>
        </w:tc>
      </w:tr>
      <w:tr>
        <w:tblPrEx>
          <w:tblCellMar>
            <w:top w:w="0" w:type="dxa"/>
            <w:left w:w="108" w:type="dxa"/>
            <w:bottom w:w="0" w:type="dxa"/>
            <w:right w:w="108" w:type="dxa"/>
          </w:tblCellMar>
        </w:tblPrEx>
        <w:trPr>
          <w:trHeight w:val="2183"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25.1</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样品的评审方法以及评审标准</w:t>
            </w:r>
          </w:p>
          <w:p>
            <w:pPr>
              <w:shd w:val="clear" w:color="auto" w:fill="FFFFFF"/>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演示的评审方法及评审标准</w:t>
            </w:r>
          </w:p>
        </w:tc>
        <w:tc>
          <w:tcPr>
            <w:tcW w:w="588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sym w:font="Wingdings 2" w:char="00A3"/>
            </w:r>
            <w:r>
              <w:rPr>
                <w:rFonts w:hint="eastAsia" w:ascii="仿宋" w:hAnsi="仿宋" w:eastAsia="仿宋" w:cs="仿宋"/>
                <w:bCs/>
                <w:color w:val="auto"/>
                <w:kern w:val="0"/>
                <w:szCs w:val="21"/>
                <w:highlight w:val="none"/>
              </w:rPr>
              <w:t>样品：</w:t>
            </w:r>
          </w:p>
          <w:p>
            <w:pP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1、样品评审方法：</w:t>
            </w:r>
            <w:r>
              <w:rPr>
                <w:rFonts w:hint="eastAsia" w:ascii="仿宋" w:hAnsi="仿宋" w:eastAsia="仿宋" w:cs="仿宋"/>
                <w:color w:val="auto"/>
                <w:kern w:val="0"/>
                <w:szCs w:val="21"/>
                <w:highlight w:val="none"/>
                <w:u w:val="single"/>
              </w:rPr>
              <w:t xml:space="preserve">              </w:t>
            </w:r>
          </w:p>
          <w:p>
            <w:pPr>
              <w:rPr>
                <w:rFonts w:hint="eastAsia" w:ascii="仿宋" w:hAnsi="仿宋" w:eastAsia="仿宋" w:cs="仿宋"/>
                <w:color w:val="auto"/>
                <w:kern w:val="0"/>
                <w:szCs w:val="21"/>
                <w:highlight w:val="none"/>
                <w:u w:val="single"/>
              </w:rPr>
            </w:pPr>
            <w:r>
              <w:rPr>
                <w:rFonts w:hint="eastAsia" w:ascii="仿宋" w:hAnsi="仿宋" w:eastAsia="仿宋" w:cs="仿宋"/>
                <w:color w:val="auto"/>
                <w:kern w:val="0"/>
                <w:szCs w:val="21"/>
                <w:highlight w:val="none"/>
              </w:rPr>
              <w:t>2、样品评审标准：</w:t>
            </w:r>
            <w:r>
              <w:rPr>
                <w:rFonts w:hint="eastAsia" w:ascii="仿宋" w:hAnsi="仿宋" w:eastAsia="仿宋" w:cs="仿宋"/>
                <w:color w:val="auto"/>
                <w:kern w:val="0"/>
                <w:szCs w:val="21"/>
                <w:highlight w:val="none"/>
                <w:u w:val="single"/>
              </w:rPr>
              <w:t xml:space="preserve">              </w:t>
            </w:r>
          </w:p>
          <w:p>
            <w:pPr>
              <w:rPr>
                <w:rFonts w:hint="eastAsia" w:ascii="仿宋" w:hAnsi="仿宋" w:eastAsia="仿宋" w:cs="仿宋"/>
                <w:color w:val="auto"/>
                <w:kern w:val="0"/>
                <w:szCs w:val="21"/>
                <w:highlight w:val="none"/>
                <w:u w:val="single"/>
              </w:rPr>
            </w:pPr>
          </w:p>
          <w:p>
            <w:pP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sym w:font="Wingdings 2" w:char="00A3"/>
            </w:r>
            <w:r>
              <w:rPr>
                <w:rFonts w:hint="eastAsia" w:ascii="仿宋" w:hAnsi="仿宋" w:eastAsia="仿宋" w:cs="仿宋"/>
                <w:color w:val="auto"/>
                <w:kern w:val="0"/>
                <w:szCs w:val="21"/>
                <w:highlight w:val="none"/>
              </w:rPr>
              <w:t>演示：</w:t>
            </w:r>
          </w:p>
          <w:p>
            <w:pP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1、演示评审方法：</w:t>
            </w:r>
            <w:r>
              <w:rPr>
                <w:rFonts w:hint="eastAsia" w:ascii="仿宋" w:hAnsi="仿宋" w:eastAsia="仿宋" w:cs="仿宋"/>
                <w:color w:val="auto"/>
                <w:kern w:val="0"/>
                <w:szCs w:val="21"/>
                <w:highlight w:val="none"/>
                <w:u w:val="single"/>
              </w:rPr>
              <w:t xml:space="preserve">              </w:t>
            </w:r>
          </w:p>
          <w:p>
            <w:pPr>
              <w:rPr>
                <w:rFonts w:hint="eastAsia" w:ascii="仿宋" w:hAnsi="仿宋" w:eastAsia="仿宋" w:cs="仿宋"/>
                <w:color w:val="auto"/>
                <w:kern w:val="0"/>
                <w:szCs w:val="21"/>
                <w:highlight w:val="none"/>
                <w:u w:val="single"/>
              </w:rPr>
            </w:pPr>
            <w:r>
              <w:rPr>
                <w:rFonts w:hint="eastAsia" w:ascii="仿宋" w:hAnsi="仿宋" w:eastAsia="仿宋" w:cs="仿宋"/>
                <w:color w:val="auto"/>
                <w:kern w:val="0"/>
                <w:szCs w:val="21"/>
                <w:highlight w:val="none"/>
              </w:rPr>
              <w:t>2、演示评审标准：</w:t>
            </w:r>
            <w:r>
              <w:rPr>
                <w:rFonts w:hint="eastAsia" w:ascii="仿宋" w:hAnsi="仿宋" w:eastAsia="仿宋" w:cs="仿宋"/>
                <w:color w:val="auto"/>
                <w:kern w:val="0"/>
                <w:szCs w:val="21"/>
                <w:highlight w:val="none"/>
                <w:u w:val="single"/>
              </w:rPr>
              <w:t xml:space="preserve">              </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27.2</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评标办法</w:t>
            </w:r>
          </w:p>
        </w:tc>
        <w:tc>
          <w:tcPr>
            <w:tcW w:w="588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szCs w:val="21"/>
                <w:highlight w:val="none"/>
              </w:rPr>
            </w:pPr>
            <w:r>
              <w:rPr>
                <w:rFonts w:hint="eastAsia" w:ascii="仿宋" w:hAnsi="仿宋" w:eastAsia="仿宋" w:cs="仿宋"/>
                <w:color w:val="auto"/>
                <w:szCs w:val="21"/>
                <w:highlight w:val="none"/>
              </w:rPr>
              <w:sym w:font="Wingdings 2" w:char="0052"/>
            </w:r>
            <w:r>
              <w:rPr>
                <w:rFonts w:hint="eastAsia" w:ascii="仿宋" w:hAnsi="仿宋" w:eastAsia="仿宋" w:cs="仿宋"/>
                <w:color w:val="auto"/>
                <w:szCs w:val="21"/>
                <w:highlight w:val="none"/>
              </w:rPr>
              <w:t>综合评分法</w:t>
            </w:r>
          </w:p>
          <w:p>
            <w:pPr>
              <w:widowControl/>
              <w:rPr>
                <w:rFonts w:hint="eastAsia" w:ascii="仿宋" w:hAnsi="仿宋" w:eastAsia="仿宋" w:cs="仿宋"/>
                <w:color w:val="auto"/>
                <w:szCs w:val="21"/>
                <w:highlight w:val="none"/>
              </w:rPr>
            </w:pPr>
            <w:r>
              <w:rPr>
                <w:rFonts w:hint="eastAsia" w:ascii="仿宋" w:hAnsi="仿宋" w:eastAsia="仿宋" w:cs="仿宋"/>
                <w:color w:val="auto"/>
                <w:szCs w:val="21"/>
                <w:highlight w:val="none"/>
              </w:rPr>
              <w:sym w:font="Wingdings 2" w:char="00A3"/>
            </w:r>
            <w:r>
              <w:rPr>
                <w:rFonts w:hint="eastAsia" w:ascii="仿宋" w:hAnsi="仿宋" w:eastAsia="仿宋" w:cs="仿宋"/>
                <w:color w:val="auto"/>
                <w:szCs w:val="21"/>
                <w:highlight w:val="none"/>
              </w:rPr>
              <w:t xml:space="preserve">最低评标价法 </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29.2</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推荐中标候选人的数量</w:t>
            </w:r>
          </w:p>
        </w:tc>
        <w:tc>
          <w:tcPr>
            <w:tcW w:w="588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Cs w:val="21"/>
                <w:highlight w:val="none"/>
              </w:rPr>
            </w:pPr>
            <w:r>
              <w:rPr>
                <w:rFonts w:hint="eastAsia" w:ascii="仿宋" w:hAnsi="仿宋" w:cs="仿宋"/>
                <w:color w:val="auto"/>
                <w:kern w:val="0"/>
                <w:szCs w:val="21"/>
                <w:highlight w:val="none"/>
                <w:u w:val="single"/>
              </w:rPr>
              <w:t xml:space="preserve">      3名/包       </w:t>
            </w:r>
          </w:p>
        </w:tc>
      </w:tr>
      <w:tr>
        <w:tblPrEx>
          <w:tblCellMar>
            <w:top w:w="0" w:type="dxa"/>
            <w:left w:w="108" w:type="dxa"/>
            <w:bottom w:w="0" w:type="dxa"/>
            <w:right w:w="108" w:type="dxa"/>
          </w:tblCellMar>
        </w:tblPrEx>
        <w:trPr>
          <w:trHeight w:val="942"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31</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确定中标人的方式</w:t>
            </w:r>
          </w:p>
        </w:tc>
        <w:tc>
          <w:tcPr>
            <w:tcW w:w="588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cs="仿宋"/>
                <w:color w:val="auto"/>
                <w:kern w:val="0"/>
                <w:szCs w:val="21"/>
                <w:highlight w:val="none"/>
              </w:rPr>
            </w:pPr>
            <w:r>
              <w:rPr>
                <w:rFonts w:hint="eastAsia" w:ascii="仿宋" w:hAnsi="仿宋" w:cs="仿宋"/>
                <w:color w:val="auto"/>
                <w:kern w:val="0"/>
                <w:szCs w:val="21"/>
                <w:highlight w:val="none"/>
              </w:rPr>
              <w:t>中标人数量：</w:t>
            </w:r>
            <w:r>
              <w:rPr>
                <w:rFonts w:hint="eastAsia" w:ascii="仿宋" w:hAnsi="仿宋" w:cs="仿宋"/>
                <w:color w:val="auto"/>
                <w:kern w:val="0"/>
                <w:szCs w:val="21"/>
                <w:highlight w:val="none"/>
                <w:u w:val="single"/>
              </w:rPr>
              <w:t xml:space="preserve">   1名/包   </w:t>
            </w:r>
          </w:p>
          <w:p>
            <w:pPr>
              <w:widowControl/>
              <w:rPr>
                <w:rFonts w:hint="eastAsia" w:ascii="仿宋" w:hAnsi="仿宋" w:cs="仿宋"/>
                <w:color w:val="auto"/>
                <w:kern w:val="0"/>
                <w:szCs w:val="21"/>
                <w:highlight w:val="none"/>
                <w:u w:val="single"/>
              </w:rPr>
            </w:pPr>
            <w:r>
              <w:rPr>
                <w:rFonts w:hint="eastAsia" w:ascii="仿宋" w:hAnsi="仿宋" w:cs="仿宋"/>
                <w:color w:val="auto"/>
                <w:kern w:val="0"/>
                <w:szCs w:val="21"/>
                <w:highlight w:val="none"/>
              </w:rPr>
              <w:sym w:font="Wingdings 2" w:char="0052"/>
            </w:r>
            <w:r>
              <w:rPr>
                <w:rFonts w:hint="eastAsia" w:ascii="仿宋" w:hAnsi="仿宋" w:cs="仿宋"/>
                <w:color w:val="auto"/>
                <w:kern w:val="0"/>
                <w:szCs w:val="21"/>
                <w:highlight w:val="none"/>
              </w:rPr>
              <w:t>采购人委托评标委员会直接确定中标人</w:t>
            </w:r>
          </w:p>
          <w:p>
            <w:pPr>
              <w:widowControl/>
              <w:rPr>
                <w:rFonts w:hint="eastAsia" w:ascii="仿宋" w:hAnsi="仿宋" w:eastAsia="仿宋" w:cs="仿宋"/>
                <w:color w:val="auto"/>
                <w:kern w:val="0"/>
                <w:szCs w:val="21"/>
                <w:highlight w:val="none"/>
                <w:u w:val="single"/>
              </w:rPr>
            </w:pPr>
            <w:r>
              <w:rPr>
                <w:rFonts w:hint="eastAsia" w:ascii="仿宋" w:hAnsi="仿宋" w:cs="仿宋"/>
                <w:color w:val="auto"/>
                <w:kern w:val="0"/>
                <w:szCs w:val="21"/>
                <w:highlight w:val="none"/>
              </w:rPr>
              <w:sym w:font="Wingdings 2" w:char="00A3"/>
            </w:r>
            <w:r>
              <w:rPr>
                <w:rFonts w:hint="eastAsia" w:ascii="仿宋" w:hAnsi="仿宋" w:cs="仿宋"/>
                <w:color w:val="auto"/>
                <w:kern w:val="0"/>
                <w:szCs w:val="21"/>
                <w:highlight w:val="none"/>
              </w:rPr>
              <w:t>采购人确定中标人</w:t>
            </w:r>
          </w:p>
        </w:tc>
      </w:tr>
      <w:tr>
        <w:tblPrEx>
          <w:tblCellMar>
            <w:top w:w="0" w:type="dxa"/>
            <w:left w:w="108" w:type="dxa"/>
            <w:bottom w:w="0" w:type="dxa"/>
            <w:right w:w="108" w:type="dxa"/>
          </w:tblCellMar>
        </w:tblPrEx>
        <w:trPr>
          <w:trHeight w:val="578"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35.1</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jc w:val="center"/>
              <w:rPr>
                <w:rFonts w:hint="eastAsia" w:ascii="仿宋" w:hAnsi="仿宋" w:eastAsia="仿宋" w:cs="仿宋"/>
                <w:color w:val="auto"/>
                <w:kern w:val="0"/>
                <w:szCs w:val="21"/>
                <w:highlight w:val="none"/>
              </w:rPr>
            </w:pPr>
            <w:r>
              <w:rPr>
                <w:rFonts w:hint="eastAsia" w:ascii="仿宋" w:hAnsi="仿宋" w:eastAsia="仿宋" w:cs="仿宋"/>
                <w:color w:val="auto"/>
                <w:szCs w:val="21"/>
                <w:highlight w:val="none"/>
              </w:rPr>
              <w:t>履约保证金</w:t>
            </w:r>
          </w:p>
        </w:tc>
        <w:tc>
          <w:tcPr>
            <w:tcW w:w="588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sym w:font="Wingdings 2" w:char="00A3"/>
            </w:r>
            <w:r>
              <w:rPr>
                <w:rFonts w:hint="eastAsia" w:ascii="仿宋" w:hAnsi="仿宋" w:eastAsia="仿宋" w:cs="仿宋"/>
                <w:color w:val="auto"/>
                <w:szCs w:val="21"/>
                <w:highlight w:val="none"/>
              </w:rPr>
              <w:t>本项目不收取履约保证金</w:t>
            </w:r>
          </w:p>
          <w:p>
            <w:pPr>
              <w:shd w:val="clear" w:color="auto" w:fill="FFFFFF"/>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sym w:font="Wingdings 2" w:char="0052"/>
            </w:r>
            <w:r>
              <w:rPr>
                <w:rFonts w:hint="eastAsia" w:ascii="仿宋" w:hAnsi="仿宋" w:eastAsia="仿宋" w:cs="仿宋"/>
                <w:color w:val="auto"/>
                <w:szCs w:val="21"/>
                <w:highlight w:val="none"/>
              </w:rPr>
              <w:t>本项目收取履约保证金</w:t>
            </w:r>
          </w:p>
          <w:p>
            <w:pPr>
              <w:widowControl/>
              <w:rPr>
                <w:rFonts w:hint="eastAsia" w:ascii="仿宋" w:hAnsi="仿宋" w:cs="仿宋"/>
                <w:color w:val="auto"/>
                <w:kern w:val="0"/>
                <w:szCs w:val="21"/>
                <w:highlight w:val="none"/>
                <w:u w:val="single"/>
              </w:rPr>
            </w:pPr>
            <w:r>
              <w:rPr>
                <w:rFonts w:hint="eastAsia" w:ascii="仿宋" w:hAnsi="仿宋" w:cs="仿宋"/>
                <w:color w:val="auto"/>
                <w:kern w:val="0"/>
                <w:szCs w:val="21"/>
                <w:highlight w:val="none"/>
              </w:rPr>
              <w:t>履约保证金金额：</w:t>
            </w:r>
            <w:r>
              <w:rPr>
                <w:rFonts w:hint="eastAsia" w:ascii="仿宋" w:hAnsi="仿宋" w:cs="仿宋"/>
                <w:color w:val="auto"/>
                <w:kern w:val="0"/>
                <w:szCs w:val="21"/>
                <w:highlight w:val="none"/>
                <w:u w:val="single"/>
              </w:rPr>
              <w:t>政府采购合同金额的5%</w:t>
            </w:r>
          </w:p>
          <w:p>
            <w:pPr>
              <w:widowControl/>
              <w:rPr>
                <w:rFonts w:ascii="仿宋" w:hAnsi="仿宋" w:cs="仿宋"/>
                <w:color w:val="auto"/>
                <w:kern w:val="0"/>
                <w:szCs w:val="21"/>
                <w:highlight w:val="none"/>
              </w:rPr>
            </w:pPr>
            <w:r>
              <w:rPr>
                <w:rFonts w:hint="eastAsia" w:ascii="仿宋" w:hAnsi="仿宋" w:cs="仿宋"/>
                <w:color w:val="auto"/>
                <w:kern w:val="0"/>
                <w:szCs w:val="21"/>
                <w:highlight w:val="none"/>
              </w:rPr>
              <w:t>履约保证金递交时间：</w:t>
            </w:r>
            <w:r>
              <w:rPr>
                <w:rFonts w:hint="eastAsia" w:ascii="仿宋" w:hAnsi="仿宋" w:cs="仿宋"/>
                <w:color w:val="auto"/>
                <w:kern w:val="0"/>
                <w:szCs w:val="21"/>
                <w:highlight w:val="none"/>
                <w:u w:val="single"/>
              </w:rPr>
              <w:t>签订合同前1个工作日</w:t>
            </w:r>
          </w:p>
          <w:p>
            <w:pPr>
              <w:widowControl/>
              <w:rPr>
                <w:rFonts w:hint="eastAsia" w:ascii="仿宋" w:hAnsi="仿宋" w:cs="仿宋"/>
                <w:color w:val="auto"/>
                <w:kern w:val="0"/>
                <w:szCs w:val="21"/>
                <w:highlight w:val="none"/>
              </w:rPr>
            </w:pPr>
            <w:r>
              <w:rPr>
                <w:rFonts w:hint="eastAsia" w:ascii="仿宋" w:hAnsi="仿宋" w:cs="仿宋"/>
                <w:color w:val="auto"/>
                <w:kern w:val="0"/>
                <w:szCs w:val="21"/>
                <w:highlight w:val="none"/>
              </w:rPr>
              <w:t xml:space="preserve">履约保证金递交方式：☑保函   □支票  </w:t>
            </w:r>
            <w:r>
              <w:rPr>
                <w:rFonts w:hint="eastAsia" w:ascii="仿宋" w:hAnsi="仿宋" w:cs="仿宋"/>
                <w:color w:val="auto"/>
                <w:kern w:val="0"/>
                <w:szCs w:val="21"/>
                <w:highlight w:val="none"/>
                <w:lang w:eastAsia="zh-CN"/>
              </w:rPr>
              <w:t>□</w:t>
            </w:r>
            <w:r>
              <w:rPr>
                <w:rFonts w:hint="eastAsia" w:ascii="仿宋" w:hAnsi="仿宋" w:cs="仿宋"/>
                <w:color w:val="auto"/>
                <w:kern w:val="0"/>
                <w:szCs w:val="21"/>
                <w:highlight w:val="none"/>
              </w:rPr>
              <w:t>电汇</w:t>
            </w:r>
          </w:p>
          <w:p>
            <w:pPr>
              <w:shd w:val="clear" w:color="auto" w:fill="FFFFFF"/>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账户信息：</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开 户 名：</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szCs w:val="21"/>
                <w:highlight w:val="none"/>
              </w:rPr>
              <w:t xml:space="preserve"> </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开 户 行：</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szCs w:val="21"/>
                <w:highlight w:val="none"/>
              </w:rPr>
              <w:t xml:space="preserve"> </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账    号：</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szCs w:val="21"/>
                <w:highlight w:val="none"/>
              </w:rPr>
              <w:t xml:space="preserve"> </w:t>
            </w:r>
          </w:p>
          <w:p>
            <w:pPr>
              <w:shd w:val="clear" w:color="auto" w:fill="FFFFFF"/>
              <w:ind w:firstLine="210" w:firstLineChars="1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履约保证金退还时间及规定：</w:t>
            </w:r>
            <w:r>
              <w:rPr>
                <w:rFonts w:hint="eastAsia" w:ascii="仿宋" w:hAnsi="仿宋" w:cs="仿宋"/>
                <w:color w:val="auto"/>
                <w:kern w:val="0"/>
                <w:szCs w:val="21"/>
                <w:highlight w:val="none"/>
              </w:rPr>
              <w:t xml:space="preserve">项目在规定时间内施撒完成并且经过两次检测退还。  </w:t>
            </w:r>
          </w:p>
          <w:p>
            <w:pPr>
              <w:shd w:val="clear" w:color="auto" w:fill="FFFFFF"/>
              <w:jc w:val="left"/>
              <w:rPr>
                <w:rFonts w:hint="eastAsia" w:ascii="仿宋" w:hAnsi="仿宋" w:eastAsia="仿宋" w:cs="仿宋"/>
                <w:color w:val="auto"/>
                <w:kern w:val="0"/>
                <w:szCs w:val="21"/>
                <w:highlight w:val="none"/>
              </w:rPr>
            </w:pPr>
            <w:r>
              <w:rPr>
                <w:rFonts w:hint="eastAsia" w:ascii="仿宋" w:hAnsi="仿宋" w:eastAsia="仿宋" w:cs="仿宋"/>
                <w:b/>
                <w:bCs/>
                <w:color w:val="auto"/>
                <w:szCs w:val="21"/>
                <w:highlight w:val="none"/>
              </w:rPr>
              <w:t>（注：财政部门鼓励采用保函的方式递交履约保证金，具体办理流程参阅辽宁政府采购网）</w:t>
            </w:r>
          </w:p>
        </w:tc>
      </w:tr>
      <w:tr>
        <w:tblPrEx>
          <w:tblCellMar>
            <w:top w:w="0" w:type="dxa"/>
            <w:left w:w="108" w:type="dxa"/>
            <w:bottom w:w="0" w:type="dxa"/>
            <w:right w:w="108" w:type="dxa"/>
          </w:tblCellMar>
        </w:tblPrEx>
        <w:trPr>
          <w:trHeight w:val="1252" w:hRule="atLeast"/>
        </w:trPr>
        <w:tc>
          <w:tcPr>
            <w:tcW w:w="852" w:type="dxa"/>
            <w:tcBorders>
              <w:top w:val="nil"/>
              <w:left w:val="single" w:color="auto" w:sz="8" w:space="0"/>
              <w:bottom w:val="single" w:color="auto" w:sz="8"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36</w:t>
            </w:r>
          </w:p>
        </w:tc>
        <w:tc>
          <w:tcPr>
            <w:tcW w:w="1917" w:type="dxa"/>
            <w:tcBorders>
              <w:top w:val="nil"/>
              <w:left w:val="single" w:color="auto" w:sz="4" w:space="0"/>
              <w:bottom w:val="single" w:color="auto" w:sz="8" w:space="0"/>
              <w:right w:val="single" w:color="auto" w:sz="8"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采购代理服务费</w:t>
            </w:r>
          </w:p>
        </w:tc>
        <w:tc>
          <w:tcPr>
            <w:tcW w:w="5887" w:type="dxa"/>
            <w:tcBorders>
              <w:top w:val="nil"/>
              <w:left w:val="nil"/>
              <w:bottom w:val="single" w:color="auto" w:sz="8" w:space="0"/>
              <w:right w:val="single" w:color="auto" w:sz="8" w:space="0"/>
            </w:tcBorders>
            <w:noWrap w:val="0"/>
            <w:vAlign w:val="center"/>
          </w:tcPr>
          <w:p>
            <w:pPr>
              <w:shd w:val="clear" w:color="auto" w:fill="FFFFFF"/>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sym w:font="Wingdings 2" w:char="00A3"/>
            </w:r>
            <w:r>
              <w:rPr>
                <w:rFonts w:hint="eastAsia" w:ascii="仿宋" w:hAnsi="仿宋" w:eastAsia="仿宋" w:cs="仿宋"/>
                <w:color w:val="auto"/>
                <w:szCs w:val="21"/>
                <w:highlight w:val="none"/>
              </w:rPr>
              <w:t>本项目不收取</w:t>
            </w:r>
            <w:r>
              <w:rPr>
                <w:rFonts w:hint="eastAsia" w:ascii="仿宋" w:hAnsi="仿宋" w:eastAsia="仿宋" w:cs="仿宋"/>
                <w:color w:val="auto"/>
                <w:kern w:val="0"/>
                <w:szCs w:val="21"/>
                <w:highlight w:val="none"/>
              </w:rPr>
              <w:t>采购代理服务费</w:t>
            </w:r>
          </w:p>
          <w:p>
            <w:pPr>
              <w:shd w:val="clear" w:color="auto" w:fill="FFFFFF"/>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sym w:font="Wingdings 2" w:char="0052"/>
            </w:r>
            <w:r>
              <w:rPr>
                <w:rFonts w:hint="eastAsia" w:ascii="仿宋" w:hAnsi="仿宋" w:eastAsia="仿宋" w:cs="仿宋"/>
                <w:color w:val="auto"/>
                <w:szCs w:val="21"/>
                <w:highlight w:val="none"/>
              </w:rPr>
              <w:t>本项目收取</w:t>
            </w:r>
            <w:r>
              <w:rPr>
                <w:rFonts w:hint="eastAsia" w:ascii="仿宋" w:hAnsi="仿宋" w:eastAsia="仿宋" w:cs="仿宋"/>
                <w:color w:val="auto"/>
                <w:kern w:val="0"/>
                <w:szCs w:val="21"/>
                <w:highlight w:val="none"/>
              </w:rPr>
              <w:t>采购代理服务费</w:t>
            </w:r>
          </w:p>
          <w:p>
            <w:pPr>
              <w:widowControl/>
              <w:rPr>
                <w:rFonts w:hint="eastAsia" w:ascii="仿宋" w:hAnsi="仿宋" w:cs="仿宋"/>
                <w:color w:val="auto"/>
                <w:kern w:val="0"/>
                <w:szCs w:val="21"/>
                <w:highlight w:val="none"/>
              </w:rPr>
            </w:pPr>
            <w:r>
              <w:rPr>
                <w:rFonts w:hint="eastAsia" w:ascii="仿宋" w:hAnsi="仿宋" w:cs="仿宋"/>
                <w:color w:val="auto"/>
                <w:kern w:val="0"/>
                <w:szCs w:val="21"/>
                <w:highlight w:val="none"/>
              </w:rPr>
              <w:t>支付标准：</w:t>
            </w:r>
            <w:r>
              <w:rPr>
                <w:rFonts w:hint="eastAsia" w:ascii="仿宋" w:hAnsi="仿宋" w:cs="仿宋"/>
                <w:color w:val="auto"/>
                <w:kern w:val="0"/>
                <w:szCs w:val="21"/>
                <w:highlight w:val="none"/>
                <w:u w:val="single"/>
              </w:rPr>
              <w:t>参照国家计委《招标代理服务费收取管理暂行办法》（计价格[2002]1980号）、《国家发展改革委办公厅关于招标代理服务收费有关问题的通知》（发改办[2003]857号文件）和《国家发展改革委关于降低部分建设项目收费标准规范收费行为等有关问题的通知》［发改价格[2011]534号］标准的80%计取，参照上述标准计算，不足6千元按6千元计算</w:t>
            </w:r>
            <w:r>
              <w:rPr>
                <w:rFonts w:hint="eastAsia" w:ascii="仿宋" w:hAnsi="仿宋" w:cs="仿宋"/>
                <w:color w:val="auto"/>
                <w:kern w:val="0"/>
                <w:szCs w:val="21"/>
                <w:highlight w:val="none"/>
              </w:rPr>
              <w:t>。</w:t>
            </w:r>
          </w:p>
          <w:p>
            <w:pPr>
              <w:widowControl/>
              <w:rPr>
                <w:rFonts w:hint="eastAsia" w:ascii="仿宋" w:hAnsi="仿宋" w:cs="仿宋"/>
                <w:color w:val="auto"/>
                <w:kern w:val="0"/>
                <w:szCs w:val="21"/>
                <w:highlight w:val="none"/>
              </w:rPr>
            </w:pPr>
            <w:r>
              <w:rPr>
                <w:rFonts w:hint="eastAsia" w:ascii="仿宋" w:hAnsi="仿宋" w:cs="仿宋"/>
                <w:color w:val="auto"/>
                <w:kern w:val="0"/>
                <w:szCs w:val="21"/>
                <w:highlight w:val="none"/>
              </w:rPr>
              <w:t>支付形式：</w:t>
            </w:r>
            <w:r>
              <w:rPr>
                <w:rFonts w:hint="eastAsia" w:ascii="仿宋" w:hAnsi="仿宋" w:cs="仿宋"/>
                <w:color w:val="auto"/>
                <w:kern w:val="0"/>
                <w:szCs w:val="21"/>
                <w:highlight w:val="none"/>
                <w:u w:val="single"/>
              </w:rPr>
              <w:t xml:space="preserve">现金或电汇 </w:t>
            </w:r>
            <w:r>
              <w:rPr>
                <w:rFonts w:hint="eastAsia" w:ascii="仿宋" w:hAnsi="仿宋" w:cs="仿宋"/>
                <w:color w:val="auto"/>
                <w:kern w:val="0"/>
                <w:szCs w:val="21"/>
                <w:highlight w:val="none"/>
              </w:rPr>
              <w:t xml:space="preserve"> </w:t>
            </w:r>
          </w:p>
          <w:p>
            <w:pPr>
              <w:widowControl/>
              <w:ind w:firstLine="210" w:firstLineChars="100"/>
              <w:rPr>
                <w:rFonts w:hint="eastAsia" w:ascii="仿宋" w:hAnsi="仿宋" w:eastAsia="仿宋" w:cs="仿宋"/>
                <w:color w:val="auto"/>
                <w:kern w:val="0"/>
                <w:szCs w:val="21"/>
                <w:highlight w:val="none"/>
              </w:rPr>
            </w:pPr>
            <w:r>
              <w:rPr>
                <w:rFonts w:hint="eastAsia" w:ascii="仿宋" w:hAnsi="仿宋" w:cs="仿宋"/>
                <w:color w:val="auto"/>
                <w:kern w:val="0"/>
                <w:szCs w:val="21"/>
                <w:highlight w:val="none"/>
              </w:rPr>
              <w:t>支付时间：</w:t>
            </w:r>
            <w:r>
              <w:rPr>
                <w:rFonts w:hint="eastAsia" w:ascii="仿宋" w:hAnsi="仿宋" w:cs="仿宋"/>
                <w:color w:val="auto"/>
                <w:kern w:val="0"/>
                <w:szCs w:val="21"/>
                <w:highlight w:val="none"/>
                <w:u w:val="single"/>
              </w:rPr>
              <w:t>发布中标结果公告之后，发出中标通知书之前</w:t>
            </w:r>
            <w:r>
              <w:rPr>
                <w:rFonts w:hint="eastAsia" w:ascii="仿宋" w:hAnsi="仿宋" w:cs="仿宋"/>
                <w:color w:val="auto"/>
                <w:kern w:val="0"/>
                <w:szCs w:val="21"/>
                <w:highlight w:val="none"/>
              </w:rPr>
              <w:t xml:space="preserve"> </w:t>
            </w:r>
          </w:p>
        </w:tc>
      </w:tr>
      <w:tr>
        <w:tblPrEx>
          <w:tblCellMar>
            <w:top w:w="0" w:type="dxa"/>
            <w:left w:w="108" w:type="dxa"/>
            <w:bottom w:w="0" w:type="dxa"/>
            <w:right w:w="108" w:type="dxa"/>
          </w:tblCellMar>
        </w:tblPrEx>
        <w:trPr>
          <w:trHeight w:val="614" w:hRule="atLeast"/>
        </w:trPr>
        <w:tc>
          <w:tcPr>
            <w:tcW w:w="852"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39.3</w:t>
            </w:r>
          </w:p>
        </w:tc>
        <w:tc>
          <w:tcPr>
            <w:tcW w:w="1917"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质疑</w:t>
            </w:r>
          </w:p>
        </w:tc>
        <w:tc>
          <w:tcPr>
            <w:tcW w:w="5887" w:type="dxa"/>
            <w:tcBorders>
              <w:top w:val="single" w:color="auto" w:sz="4" w:space="0"/>
              <w:left w:val="nil"/>
              <w:bottom w:val="single" w:color="auto" w:sz="4" w:space="0"/>
              <w:right w:val="single" w:color="auto" w:sz="8" w:space="0"/>
            </w:tcBorders>
            <w:noWrap w:val="0"/>
            <w:vAlign w:val="center"/>
          </w:tcPr>
          <w:p>
            <w:pPr>
              <w:widowControl/>
              <w:rPr>
                <w:rFonts w:hint="eastAsia" w:ascii="仿宋" w:hAnsi="仿宋" w:cs="仿宋"/>
                <w:color w:val="auto"/>
                <w:szCs w:val="21"/>
                <w:highlight w:val="none"/>
              </w:rPr>
            </w:pPr>
            <w:r>
              <w:rPr>
                <w:rFonts w:hint="eastAsia" w:ascii="仿宋" w:hAnsi="仿宋" w:cs="仿宋"/>
                <w:color w:val="auto"/>
                <w:szCs w:val="21"/>
                <w:highlight w:val="none"/>
              </w:rPr>
              <w:t>一、投标人认为自己的权益受到损害的，可以在知道或者应知其权益受到损害之日起七个工作日内，向采购代理机构提出质疑。</w:t>
            </w:r>
          </w:p>
          <w:p>
            <w:pPr>
              <w:widowControl/>
              <w:rPr>
                <w:rFonts w:hint="eastAsia" w:ascii="仿宋" w:hAnsi="仿宋" w:cs="仿宋"/>
                <w:color w:val="auto"/>
                <w:szCs w:val="21"/>
                <w:highlight w:val="none"/>
              </w:rPr>
            </w:pPr>
            <w:r>
              <w:rPr>
                <w:rFonts w:hint="eastAsia" w:ascii="仿宋" w:hAnsi="仿宋" w:cs="仿宋"/>
                <w:color w:val="auto"/>
                <w:szCs w:val="21"/>
                <w:highlight w:val="none"/>
              </w:rPr>
              <w:t>1、接收质疑函的方式：接收加盖单位公章的书面质疑函</w:t>
            </w:r>
          </w:p>
          <w:p>
            <w:pPr>
              <w:widowControl/>
              <w:ind w:firstLine="420" w:firstLineChars="200"/>
              <w:rPr>
                <w:rFonts w:hint="eastAsia" w:ascii="仿宋" w:hAnsi="仿宋" w:cs="仿宋"/>
                <w:color w:val="auto"/>
                <w:szCs w:val="21"/>
                <w:highlight w:val="none"/>
              </w:rPr>
            </w:pPr>
            <w:r>
              <w:rPr>
                <w:rFonts w:hint="eastAsia" w:ascii="仿宋" w:hAnsi="仿宋" w:cs="仿宋"/>
                <w:color w:val="auto"/>
                <w:szCs w:val="21"/>
                <w:highlight w:val="none"/>
              </w:rPr>
              <w:t>联系单位：</w:t>
            </w:r>
            <w:r>
              <w:rPr>
                <w:rFonts w:hint="eastAsia" w:ascii="仿宋" w:hAnsi="仿宋" w:cs="仿宋"/>
                <w:color w:val="auto"/>
                <w:szCs w:val="21"/>
                <w:highlight w:val="none"/>
                <w:u w:val="single"/>
              </w:rPr>
              <w:t>辽宁合建项目管理咨询有限公司</w:t>
            </w:r>
          </w:p>
          <w:p>
            <w:pPr>
              <w:widowControl/>
              <w:ind w:firstLine="420" w:firstLineChars="200"/>
              <w:rPr>
                <w:rFonts w:hint="eastAsia" w:ascii="仿宋" w:hAnsi="仿宋" w:cs="仿宋"/>
                <w:color w:val="auto"/>
                <w:szCs w:val="21"/>
                <w:highlight w:val="none"/>
              </w:rPr>
            </w:pPr>
            <w:r>
              <w:rPr>
                <w:rFonts w:hint="eastAsia" w:ascii="仿宋" w:hAnsi="仿宋" w:cs="仿宋"/>
                <w:color w:val="auto"/>
                <w:szCs w:val="21"/>
                <w:highlight w:val="none"/>
              </w:rPr>
              <w:t>联 系 人：</w:t>
            </w:r>
            <w:r>
              <w:rPr>
                <w:rFonts w:hint="eastAsia" w:ascii="仿宋" w:hAnsi="仿宋" w:cs="仿宋"/>
                <w:color w:val="auto"/>
                <w:szCs w:val="21"/>
                <w:highlight w:val="none"/>
                <w:u w:val="single"/>
              </w:rPr>
              <w:t>任洪建</w:t>
            </w:r>
          </w:p>
          <w:p>
            <w:pPr>
              <w:widowControl/>
              <w:ind w:firstLine="420" w:firstLineChars="200"/>
              <w:rPr>
                <w:rFonts w:hint="eastAsia" w:ascii="仿宋" w:hAnsi="仿宋" w:cs="仿宋"/>
                <w:color w:val="auto"/>
                <w:szCs w:val="21"/>
                <w:highlight w:val="none"/>
              </w:rPr>
            </w:pPr>
            <w:r>
              <w:rPr>
                <w:rFonts w:hint="eastAsia" w:ascii="仿宋" w:hAnsi="仿宋" w:cs="仿宋"/>
                <w:color w:val="auto"/>
                <w:szCs w:val="21"/>
                <w:highlight w:val="none"/>
              </w:rPr>
              <w:t>联系电话：</w:t>
            </w:r>
            <w:r>
              <w:rPr>
                <w:rFonts w:hint="eastAsia" w:ascii="仿宋" w:hAnsi="仿宋" w:cs="仿宋"/>
                <w:color w:val="auto"/>
                <w:szCs w:val="21"/>
                <w:highlight w:val="none"/>
                <w:u w:val="single"/>
              </w:rPr>
              <w:t>024-23180489-0</w:t>
            </w:r>
            <w:r>
              <w:rPr>
                <w:rFonts w:hint="eastAsia" w:ascii="仿宋" w:hAnsi="仿宋" w:cs="仿宋"/>
                <w:color w:val="auto"/>
                <w:szCs w:val="21"/>
                <w:highlight w:val="none"/>
              </w:rPr>
              <w:t xml:space="preserve"> </w:t>
            </w:r>
          </w:p>
          <w:p>
            <w:pPr>
              <w:widowControl/>
              <w:ind w:firstLine="420" w:firstLineChars="200"/>
              <w:rPr>
                <w:rFonts w:hint="eastAsia" w:ascii="仿宋" w:hAnsi="仿宋" w:cs="仿宋"/>
                <w:color w:val="auto"/>
                <w:szCs w:val="21"/>
                <w:highlight w:val="none"/>
              </w:rPr>
            </w:pPr>
            <w:r>
              <w:rPr>
                <w:rFonts w:hint="eastAsia" w:ascii="仿宋" w:hAnsi="仿宋" w:cs="仿宋"/>
                <w:color w:val="auto"/>
                <w:szCs w:val="21"/>
                <w:highlight w:val="none"/>
              </w:rPr>
              <w:t>通讯地址：</w:t>
            </w:r>
            <w:r>
              <w:rPr>
                <w:rFonts w:hint="eastAsia" w:ascii="仿宋" w:hAnsi="仿宋" w:cs="仿宋"/>
                <w:color w:val="auto"/>
                <w:szCs w:val="21"/>
                <w:highlight w:val="none"/>
                <w:u w:val="single"/>
              </w:rPr>
              <w:t>沈阳市和平区青年大街386号华阳国际大厦22楼2255</w:t>
            </w:r>
          </w:p>
          <w:p>
            <w:pPr>
              <w:widowControl/>
              <w:rPr>
                <w:rFonts w:hint="eastAsia" w:ascii="仿宋" w:hAnsi="仿宋" w:cs="仿宋"/>
                <w:color w:val="auto"/>
                <w:szCs w:val="21"/>
                <w:highlight w:val="none"/>
              </w:rPr>
            </w:pPr>
            <w:r>
              <w:rPr>
                <w:rFonts w:hint="eastAsia" w:ascii="仿宋" w:hAnsi="仿宋" w:cs="仿宋"/>
                <w:color w:val="auto"/>
                <w:szCs w:val="21"/>
                <w:highlight w:val="none"/>
              </w:rPr>
              <w:t>2、质疑函的内容、格式：应符合《政府采购质疑和投诉办法》相关规定和财政部门制定的《政府采购质疑函范本》格式。</w:t>
            </w:r>
          </w:p>
          <w:p>
            <w:pPr>
              <w:pStyle w:val="6"/>
              <w:rPr>
                <w:rFonts w:hint="eastAsia" w:ascii="仿宋" w:hAnsi="仿宋" w:eastAsia="仿宋" w:cs="仿宋"/>
                <w:color w:val="auto"/>
                <w:kern w:val="0"/>
                <w:szCs w:val="21"/>
                <w:highlight w:val="none"/>
              </w:rPr>
            </w:pPr>
            <w:r>
              <w:rPr>
                <w:rFonts w:hint="eastAsia" w:ascii="仿宋" w:hAnsi="仿宋" w:cs="仿宋"/>
                <w:color w:val="auto"/>
                <w:szCs w:val="21"/>
                <w:highlight w:val="none"/>
              </w:rPr>
              <w:t>二、投标人应在法定质疑期内一次性针对同一采购程序环节提出质疑，否则针对再次提出质疑将不予接收。（采购程序环节分为：</w:t>
            </w:r>
            <w:r>
              <w:rPr>
                <w:rFonts w:hint="eastAsia" w:ascii="仿宋" w:hAnsi="仿宋" w:cs="仿宋"/>
                <w:color w:val="auto"/>
                <w:kern w:val="0"/>
                <w:szCs w:val="21"/>
                <w:highlight w:val="none"/>
              </w:rPr>
              <w:t>招标</w:t>
            </w:r>
            <w:r>
              <w:rPr>
                <w:rFonts w:hint="eastAsia" w:ascii="仿宋" w:hAnsi="仿宋" w:cs="仿宋"/>
                <w:color w:val="auto"/>
                <w:szCs w:val="21"/>
                <w:highlight w:val="none"/>
              </w:rPr>
              <w:t>公告、招标文件、招标过程、中标结果）</w:t>
            </w:r>
          </w:p>
        </w:tc>
      </w:tr>
      <w:tr>
        <w:tblPrEx>
          <w:tblCellMar>
            <w:top w:w="0" w:type="dxa"/>
            <w:left w:w="108" w:type="dxa"/>
            <w:bottom w:w="0" w:type="dxa"/>
            <w:right w:w="108" w:type="dxa"/>
          </w:tblCellMar>
        </w:tblPrEx>
        <w:trPr>
          <w:trHeight w:val="614" w:hRule="atLeast"/>
        </w:trPr>
        <w:tc>
          <w:tcPr>
            <w:tcW w:w="852" w:type="dxa"/>
            <w:tcBorders>
              <w:top w:val="single" w:color="auto" w:sz="4" w:space="0"/>
              <w:left w:val="single" w:color="auto" w:sz="8" w:space="0"/>
              <w:bottom w:val="single" w:color="auto" w:sz="8"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其他</w:t>
            </w:r>
          </w:p>
        </w:tc>
        <w:tc>
          <w:tcPr>
            <w:tcW w:w="1917" w:type="dxa"/>
            <w:tcBorders>
              <w:top w:val="single" w:color="auto" w:sz="4" w:space="0"/>
              <w:left w:val="single" w:color="auto" w:sz="4" w:space="0"/>
              <w:bottom w:val="single" w:color="auto" w:sz="8" w:space="0"/>
              <w:right w:val="single" w:color="auto" w:sz="8"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需要补充的其他内容</w:t>
            </w:r>
          </w:p>
        </w:tc>
        <w:tc>
          <w:tcPr>
            <w:tcW w:w="5887" w:type="dxa"/>
            <w:tcBorders>
              <w:top w:val="single" w:color="auto" w:sz="4" w:space="0"/>
              <w:left w:val="nil"/>
              <w:bottom w:val="single" w:color="auto" w:sz="8" w:space="0"/>
              <w:right w:val="single" w:color="auto" w:sz="8" w:space="0"/>
            </w:tcBorders>
            <w:noWrap w:val="0"/>
            <w:vAlign w:val="center"/>
          </w:tcPr>
          <w:p>
            <w:pPr>
              <w:pStyle w:val="6"/>
              <w:rPr>
                <w:rFonts w:hint="eastAsia" w:ascii="仿宋" w:hAnsi="仿宋" w:cs="仿宋"/>
                <w:color w:val="auto"/>
                <w:szCs w:val="21"/>
                <w:highlight w:val="none"/>
              </w:rPr>
            </w:pPr>
            <w:r>
              <w:rPr>
                <w:rFonts w:hint="eastAsia" w:ascii="仿宋" w:hAnsi="仿宋" w:cs="仿宋"/>
                <w:color w:val="auto"/>
                <w:szCs w:val="21"/>
                <w:highlight w:val="none"/>
              </w:rPr>
              <w:t>（1）本项目分为2个包组，投标人可兼投但只能中其中一包，投标人须在投标文件中注明拟中标优选顺序（格式自拟），如未注明优选顺序或在不同包组投标文件中注明的优选顺序不一致，将按所投包号顺序号中标。投标人对所投包的采购内容必须全部响应，否则其投标无效。（2）投标人须按包组分别编制投标文件。</w:t>
            </w:r>
          </w:p>
        </w:tc>
      </w:tr>
    </w:tbl>
    <w:p>
      <w:pPr>
        <w:rPr>
          <w:rFonts w:hint="eastAsia" w:ascii="仿宋" w:hAnsi="仿宋" w:eastAsia="仿宋" w:cs="仿宋"/>
          <w:color w:val="auto"/>
          <w:highlight w:val="none"/>
        </w:rPr>
      </w:pPr>
      <w:r>
        <w:rPr>
          <w:rFonts w:hint="eastAsia" w:ascii="仿宋" w:hAnsi="仿宋" w:eastAsia="仿宋" w:cs="仿宋"/>
          <w:color w:val="auto"/>
          <w:highlight w:val="none"/>
        </w:rPr>
        <w:t>3注：表格中“</w:t>
      </w:r>
      <w:r>
        <w:rPr>
          <w:rFonts w:hint="eastAsia" w:ascii="仿宋" w:hAnsi="仿宋" w:eastAsia="仿宋" w:cs="仿宋"/>
          <w:color w:val="auto"/>
          <w:highlight w:val="none"/>
        </w:rPr>
        <w:sym w:font="Wingdings 2" w:char="0052"/>
      </w:r>
      <w:r>
        <w:rPr>
          <w:rFonts w:hint="eastAsia" w:ascii="仿宋" w:hAnsi="仿宋" w:eastAsia="仿宋" w:cs="仿宋"/>
          <w:color w:val="auto"/>
          <w:highlight w:val="none"/>
        </w:rPr>
        <w:t>”项或“■”项为被选中项。</w:t>
      </w:r>
    </w:p>
    <w:p>
      <w:pPr>
        <w:pStyle w:val="3"/>
        <w:adjustRightInd w:val="0"/>
        <w:snapToGrid w:val="0"/>
        <w:spacing w:before="0" w:after="0" w:line="360" w:lineRule="auto"/>
        <w:rPr>
          <w:rFonts w:hint="eastAsia" w:ascii="仿宋" w:hAnsi="仿宋" w:eastAsia="仿宋" w:cs="仿宋"/>
          <w:color w:val="auto"/>
          <w:sz w:val="32"/>
          <w:szCs w:val="36"/>
          <w:highlight w:val="none"/>
        </w:rPr>
      </w:pPr>
      <w:r>
        <w:rPr>
          <w:rFonts w:hint="eastAsia" w:ascii="仿宋" w:hAnsi="仿宋" w:eastAsia="仿宋" w:cs="仿宋"/>
          <w:color w:val="auto"/>
          <w:sz w:val="21"/>
          <w:szCs w:val="21"/>
          <w:highlight w:val="none"/>
        </w:rPr>
        <w:br w:type="page"/>
      </w:r>
      <w:bookmarkStart w:id="36" w:name="_Toc30384_WPSOffice_Level2"/>
      <w:r>
        <w:rPr>
          <w:rFonts w:hint="eastAsia" w:ascii="仿宋" w:hAnsi="仿宋" w:eastAsia="仿宋" w:cs="仿宋"/>
          <w:color w:val="auto"/>
          <w:sz w:val="32"/>
          <w:szCs w:val="36"/>
          <w:highlight w:val="none"/>
        </w:rPr>
        <w:t>二 总则</w:t>
      </w:r>
      <w:bookmarkEnd w:id="36"/>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1.采购人、采购代理机构及投标人</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1.1采购人：是指依法进行政府采购的国家机关、事业单位、团体组织。本项目采购人见投标人须知表1.1款。</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1.2采购代理机构：是指集中采购机构或从事采购代理业务的社会中介机构，本项目的采购代理机构见投标人须知表1.2款。</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★1.3投标人：是指向采购人提供货物、工程或者服务的法人、非法人组织或者自然人。本项目的投标人及其投标货物须满足以下条件：</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1.3.1在中华人民共和国境内注册，能够独立承担民事责任，有生产或供应能力的本国供应商。</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1.3.2符合《中华人民共和国政府采购法》第二十二条关于供应商条件的规定，遵守本项目采购人本级和上级财政部门关于政府采购的有关规定。</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1.3.3以采购代理机构认可的方式获得了本项目的招标文件。</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1.3.4符合投标人须知表1.3.4款中规定的资格条件。</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1.3.5若投标人须知表1.3.5款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投标人应保证所投进口产品可履行合法报通关手续进入中国关境内，但不限制满足招标文件要求的国内产品参与投标。</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若投标人须知表1.3.5款中未写明允许采购进口产品，如投标人所投产品为进口产品，其投标将被认定为</w:t>
      </w:r>
      <w:r>
        <w:rPr>
          <w:rFonts w:hint="eastAsia" w:ascii="仿宋" w:hAnsi="仿宋" w:eastAsia="仿宋" w:cs="仿宋"/>
          <w:b/>
          <w:bCs/>
          <w:color w:val="auto"/>
          <w:szCs w:val="21"/>
          <w:highlight w:val="none"/>
        </w:rPr>
        <w:t>投标无效</w:t>
      </w:r>
      <w:r>
        <w:rPr>
          <w:rFonts w:hint="eastAsia" w:ascii="仿宋" w:hAnsi="仿宋" w:eastAsia="仿宋" w:cs="仿宋"/>
          <w:color w:val="auto"/>
          <w:szCs w:val="21"/>
          <w:highlight w:val="none"/>
        </w:rPr>
        <w:t>。</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1.3.6若投标人须知表1.3.6款中写明专门面向中小企业采购的，如投标人为非中小企业且所投产品为非中小企业产品，其投标将被认定为</w:t>
      </w:r>
      <w:r>
        <w:rPr>
          <w:rFonts w:hint="eastAsia" w:ascii="仿宋" w:hAnsi="仿宋" w:eastAsia="仿宋" w:cs="仿宋"/>
          <w:b/>
          <w:bCs/>
          <w:color w:val="auto"/>
          <w:szCs w:val="21"/>
          <w:highlight w:val="none"/>
        </w:rPr>
        <w:t>投标无效</w:t>
      </w:r>
      <w:r>
        <w:rPr>
          <w:rFonts w:hint="eastAsia" w:ascii="仿宋" w:hAnsi="仿宋" w:eastAsia="仿宋" w:cs="仿宋"/>
          <w:color w:val="auto"/>
          <w:szCs w:val="21"/>
          <w:highlight w:val="none"/>
        </w:rPr>
        <w:t>。</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1.3.7若投标人须知表1.3.7款中写明采购的产品为财政部、发展改革委、生态环境部等部门发布的品目清单中属于实施政府强制采购品目清单范围的节能产品，如投标人所投产品不具备依据国家确定的认证机构出具的、处于有效期之内的节能产品认证证书，其投标将被认定为</w:t>
      </w:r>
      <w:r>
        <w:rPr>
          <w:rFonts w:hint="eastAsia" w:ascii="仿宋" w:hAnsi="仿宋" w:eastAsia="仿宋" w:cs="仿宋"/>
          <w:b/>
          <w:bCs/>
          <w:color w:val="auto"/>
          <w:szCs w:val="21"/>
          <w:highlight w:val="none"/>
        </w:rPr>
        <w:t>投标无效</w:t>
      </w:r>
      <w:r>
        <w:rPr>
          <w:rFonts w:hint="eastAsia" w:ascii="仿宋" w:hAnsi="仿宋" w:eastAsia="仿宋" w:cs="仿宋"/>
          <w:color w:val="auto"/>
          <w:szCs w:val="21"/>
          <w:highlight w:val="none"/>
        </w:rPr>
        <w:t>。</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★1.4如投标人须知表1.4款中允许联合体投标，对联合体规定如下：</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1.4.1两个以上供应商可以组成一个投标联合体，以一个投标人的身份投标。</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1.4.2联合体各方均应符合《中华人民共和国政府采购法》第二十二条规定的条件。</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1.4.3采购人根据采购项目对投标人的特殊要求，联合体中至少应当有一方符合相关规定。</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1.4.4联合体各方应签订共同投标协议，明确约定联合体各方承担的工作和相应的责任。</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1.4.5大中型企业、其他自然人、法人或者非法人组织与小型、微型企业组成联合体共同参加投标，共同投标协议中应写明小型、微型企业的协议合同金额占到共同投标协议投标总金额的比例。</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1.4.6联合体中有同类资质的供应商按照联合体分工承担相同工作的，按照较低的资质等级确定联合体的资质等级。</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1.4.7以联合体形式参加政府采购活动的，联合体各方不得再单独参加或者与其他供应商另外组成联合体参加本项目投标，否则相关投标将被认定为</w:t>
      </w:r>
      <w:r>
        <w:rPr>
          <w:rFonts w:hint="eastAsia" w:ascii="仿宋" w:hAnsi="仿宋" w:eastAsia="仿宋" w:cs="仿宋"/>
          <w:b/>
          <w:bCs/>
          <w:color w:val="auto"/>
          <w:szCs w:val="21"/>
          <w:highlight w:val="none"/>
        </w:rPr>
        <w:t>投标无效</w:t>
      </w:r>
      <w:r>
        <w:rPr>
          <w:rFonts w:hint="eastAsia" w:ascii="仿宋" w:hAnsi="仿宋" w:eastAsia="仿宋" w:cs="仿宋"/>
          <w:color w:val="auto"/>
          <w:szCs w:val="21"/>
          <w:highlight w:val="none"/>
        </w:rPr>
        <w:t>。</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（1）两个以上的自然人、法人或者其他组织可以组成一个联合体，以一个投标人的身份共同参加政府采购活动。</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（2）联合体中标的，联合体各方应共同与采购人签订采购合同，就采购合同约定的事项对采购人承担连带责任。</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1.4.8对联合体投标的其他资格要求见投标人须知表1.4.8款。</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★1.5单位负责人为同一人或者存在直接控股、管理关系的不同供应商，其相关投标将被认定为</w:t>
      </w:r>
      <w:r>
        <w:rPr>
          <w:rFonts w:hint="eastAsia" w:ascii="仿宋" w:hAnsi="仿宋" w:eastAsia="仿宋" w:cs="仿宋"/>
          <w:b/>
          <w:bCs/>
          <w:color w:val="auto"/>
          <w:szCs w:val="21"/>
          <w:highlight w:val="none"/>
        </w:rPr>
        <w:t>投标无效</w:t>
      </w:r>
      <w:r>
        <w:rPr>
          <w:rFonts w:hint="eastAsia" w:ascii="仿宋" w:hAnsi="仿宋" w:eastAsia="仿宋" w:cs="仿宋"/>
          <w:color w:val="auto"/>
          <w:szCs w:val="21"/>
          <w:highlight w:val="none"/>
        </w:rPr>
        <w:t>。</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★1.6为本项目提供过整体设计、规范编制或者项目管理、监理、检测等服务的供应商，不得再参加本项目上述服务以外的其他采购活动，否则其投标将被认定为</w:t>
      </w:r>
      <w:r>
        <w:rPr>
          <w:rFonts w:hint="eastAsia" w:ascii="仿宋" w:hAnsi="仿宋" w:eastAsia="仿宋" w:cs="仿宋"/>
          <w:b/>
          <w:bCs/>
          <w:color w:val="auto"/>
          <w:szCs w:val="21"/>
          <w:highlight w:val="none"/>
        </w:rPr>
        <w:t>投标无效</w:t>
      </w:r>
      <w:r>
        <w:rPr>
          <w:rFonts w:hint="eastAsia" w:ascii="仿宋" w:hAnsi="仿宋" w:eastAsia="仿宋" w:cs="仿宋"/>
          <w:color w:val="auto"/>
          <w:szCs w:val="21"/>
          <w:highlight w:val="none"/>
        </w:rPr>
        <w:t>。</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★1.7投标人在投标过程中不得向采购人提供、给予任何有价值的物品，影响其正常决策行为。一经发现，其将被认定为</w:t>
      </w:r>
      <w:r>
        <w:rPr>
          <w:rFonts w:hint="eastAsia" w:ascii="仿宋" w:hAnsi="仿宋" w:eastAsia="仿宋" w:cs="仿宋"/>
          <w:b/>
          <w:bCs/>
          <w:color w:val="auto"/>
          <w:szCs w:val="21"/>
          <w:highlight w:val="none"/>
        </w:rPr>
        <w:t>投标无效</w:t>
      </w:r>
      <w:r>
        <w:rPr>
          <w:rFonts w:hint="eastAsia" w:ascii="仿宋" w:hAnsi="仿宋" w:eastAsia="仿宋" w:cs="仿宋"/>
          <w:color w:val="auto"/>
          <w:szCs w:val="21"/>
          <w:highlight w:val="none"/>
        </w:rPr>
        <w:t>。</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2.资金来源</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2.1本项目的采购人已获得足以支付本次招标后所签订的合同项下的资金（包括财政性资金和本项目采购中无法与财政性资金分割的非财政性资金）。</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b/>
          <w:bCs/>
          <w:color w:val="auto"/>
          <w:szCs w:val="21"/>
          <w:highlight w:val="none"/>
        </w:rPr>
        <w:t>★</w:t>
      </w:r>
      <w:r>
        <w:rPr>
          <w:rFonts w:hint="eastAsia" w:ascii="仿宋" w:hAnsi="仿宋" w:eastAsia="仿宋" w:cs="仿宋"/>
          <w:color w:val="auto"/>
          <w:szCs w:val="21"/>
          <w:highlight w:val="none"/>
        </w:rPr>
        <w:t>2.2项目预算金额和分项或分包最高限价见投标人须知表2.2款。</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b/>
          <w:bCs/>
          <w:color w:val="auto"/>
          <w:szCs w:val="21"/>
          <w:highlight w:val="none"/>
        </w:rPr>
        <w:t>★</w:t>
      </w:r>
      <w:r>
        <w:rPr>
          <w:rFonts w:hint="eastAsia" w:ascii="仿宋" w:hAnsi="仿宋" w:eastAsia="仿宋" w:cs="仿宋"/>
          <w:color w:val="auto"/>
          <w:szCs w:val="21"/>
          <w:highlight w:val="none"/>
        </w:rPr>
        <w:t>2.3投标人报价超过招标文件规定的预算金额或者分项、分包最高限价的，其投标将被认定为</w:t>
      </w:r>
      <w:r>
        <w:rPr>
          <w:rFonts w:hint="eastAsia" w:ascii="仿宋" w:hAnsi="仿宋" w:eastAsia="仿宋" w:cs="仿宋"/>
          <w:b/>
          <w:bCs/>
          <w:color w:val="auto"/>
          <w:szCs w:val="21"/>
          <w:highlight w:val="none"/>
        </w:rPr>
        <w:t>投标无效</w:t>
      </w:r>
      <w:r>
        <w:rPr>
          <w:rFonts w:hint="eastAsia" w:ascii="仿宋" w:hAnsi="仿宋" w:eastAsia="仿宋" w:cs="仿宋"/>
          <w:color w:val="auto"/>
          <w:szCs w:val="21"/>
          <w:highlight w:val="none"/>
        </w:rPr>
        <w:t>。</w:t>
      </w:r>
    </w:p>
    <w:p>
      <w:pPr>
        <w:adjustRightInd w:val="0"/>
        <w:snapToGrid w:val="0"/>
        <w:spacing w:line="360" w:lineRule="auto"/>
        <w:rPr>
          <w:rFonts w:hint="eastAsia" w:ascii="仿宋" w:hAnsi="仿宋" w:eastAsia="仿宋" w:cs="仿宋"/>
          <w:b/>
          <w:bCs/>
          <w:color w:val="auto"/>
          <w:szCs w:val="21"/>
          <w:highlight w:val="none"/>
        </w:rPr>
      </w:pPr>
      <w:bookmarkStart w:id="37" w:name="_Toc266951048"/>
      <w:r>
        <w:rPr>
          <w:rFonts w:hint="eastAsia" w:ascii="仿宋" w:hAnsi="仿宋" w:eastAsia="仿宋" w:cs="仿宋"/>
          <w:b/>
          <w:bCs/>
          <w:color w:val="auto"/>
          <w:szCs w:val="21"/>
          <w:highlight w:val="none"/>
        </w:rPr>
        <w:t>3.语言文字</w:t>
      </w:r>
      <w:bookmarkEnd w:id="37"/>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除专用术语外，与投标有关的语言均使用中文。必要时专用术语应附有中文注释。对不同文字文本投标文件的解释发生异议的，以中文文本为准。</w:t>
      </w:r>
    </w:p>
    <w:p>
      <w:pPr>
        <w:adjustRightInd w:val="0"/>
        <w:snapToGrid w:val="0"/>
        <w:spacing w:line="360" w:lineRule="auto"/>
        <w:rPr>
          <w:rFonts w:hint="eastAsia" w:ascii="仿宋" w:hAnsi="仿宋" w:eastAsia="仿宋" w:cs="仿宋"/>
          <w:b/>
          <w:bCs/>
          <w:color w:val="auto"/>
          <w:szCs w:val="21"/>
          <w:highlight w:val="none"/>
        </w:rPr>
      </w:pPr>
      <w:bookmarkStart w:id="38" w:name="_1.8_计量单位"/>
      <w:bookmarkEnd w:id="38"/>
      <w:bookmarkStart w:id="39" w:name="_Toc266951049"/>
      <w:r>
        <w:rPr>
          <w:rFonts w:hint="eastAsia" w:ascii="仿宋" w:hAnsi="仿宋" w:eastAsia="仿宋" w:cs="仿宋"/>
          <w:color w:val="auto"/>
          <w:szCs w:val="21"/>
          <w:highlight w:val="none"/>
        </w:rPr>
        <w:t>★</w:t>
      </w:r>
      <w:r>
        <w:rPr>
          <w:rFonts w:hint="eastAsia" w:ascii="仿宋" w:hAnsi="仿宋" w:eastAsia="仿宋" w:cs="仿宋"/>
          <w:b/>
          <w:bCs/>
          <w:color w:val="auto"/>
          <w:szCs w:val="21"/>
          <w:highlight w:val="none"/>
        </w:rPr>
        <w:t>4.计量单位</w:t>
      </w:r>
      <w:bookmarkEnd w:id="39"/>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除投标人须知表4款中有特殊要求外，投标文件中所使用的计量单位，应采用中华人民共和国法定计量单位。</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b/>
          <w:bCs/>
          <w:color w:val="auto"/>
          <w:szCs w:val="21"/>
          <w:highlight w:val="none"/>
        </w:rPr>
        <w:t>5.投标费用</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不论投标的结果如何，投标人应承担所有与投标有关的费用。</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6.现场考察、开标前答疑会</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6.1</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"_踏勘现场" </w:instrText>
      </w:r>
      <w:r>
        <w:rPr>
          <w:rFonts w:hint="eastAsia" w:ascii="仿宋" w:hAnsi="仿宋" w:eastAsia="仿宋" w:cs="仿宋"/>
          <w:color w:val="auto"/>
          <w:highlight w:val="none"/>
        </w:rPr>
        <w:fldChar w:fldCharType="separate"/>
      </w:r>
      <w:r>
        <w:rPr>
          <w:rFonts w:hint="eastAsia" w:ascii="仿宋" w:hAnsi="仿宋" w:eastAsia="仿宋" w:cs="仿宋"/>
          <w:color w:val="auto"/>
          <w:szCs w:val="21"/>
          <w:highlight w:val="none"/>
        </w:rPr>
        <w:t>投标人须知表</w:t>
      </w:r>
      <w:r>
        <w:rPr>
          <w:rFonts w:hint="eastAsia" w:ascii="仿宋" w:hAnsi="仿宋" w:eastAsia="仿宋" w:cs="仿宋"/>
          <w:color w:val="auto"/>
          <w:szCs w:val="21"/>
          <w:highlight w:val="none"/>
        </w:rPr>
        <w:fldChar w:fldCharType="end"/>
      </w:r>
      <w:r>
        <w:rPr>
          <w:rFonts w:hint="eastAsia" w:ascii="仿宋" w:hAnsi="仿宋" w:eastAsia="仿宋" w:cs="仿宋"/>
          <w:color w:val="auto"/>
          <w:szCs w:val="21"/>
          <w:highlight w:val="none"/>
        </w:rPr>
        <w:t>6.1款规定组织现场考察或开标前答疑会的，采购人按规定的时间、地点组织投标人现场考察或开标前答疑会，或者在领取招标文件期限截止后以书面形式通知所有获取招标文件的潜在投标人。</w:t>
      </w:r>
    </w:p>
    <w:p>
      <w:pPr>
        <w:adjustRightInd w:val="0"/>
        <w:snapToGrid w:val="0"/>
        <w:spacing w:line="360" w:lineRule="auto"/>
        <w:rPr>
          <w:rFonts w:hint="eastAsia" w:ascii="仿宋" w:hAnsi="仿宋" w:eastAsia="仿宋" w:cs="仿宋"/>
          <w:b/>
          <w:bCs/>
          <w:color w:val="auto"/>
          <w:szCs w:val="21"/>
          <w:highlight w:val="none"/>
        </w:rPr>
      </w:pPr>
      <w:bookmarkStart w:id="40" w:name="_1.10_投标预备会"/>
      <w:bookmarkEnd w:id="40"/>
      <w:r>
        <w:rPr>
          <w:rFonts w:hint="eastAsia" w:ascii="仿宋" w:hAnsi="仿宋" w:eastAsia="仿宋" w:cs="仿宋"/>
          <w:color w:val="auto"/>
          <w:szCs w:val="21"/>
          <w:highlight w:val="none"/>
        </w:rPr>
        <w:t>6.2</w:t>
      </w:r>
      <w:r>
        <w:rPr>
          <w:rFonts w:hint="eastAsia" w:ascii="仿宋" w:hAnsi="仿宋" w:eastAsia="仿宋" w:cs="仿宋"/>
          <w:color w:val="auto"/>
          <w:kern w:val="0"/>
          <w:szCs w:val="21"/>
          <w:highlight w:val="none"/>
        </w:rPr>
        <w:t>由于未参加现场考察或标前答疑而导致对项目实际情况不了解，影响技术文件编制、</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"https://www.baidu.com/s?wd=%E6%8A%95%E6%A0%87%E6%8A%A5%E4%BB%B7&amp;tn=44039180_cpr&amp;fenlei=mv6quAkxTZn0IZRqIHckPjm4nH00T1dWuyfdP1u9uyPBrjKhmvDv0ZwV5Hcvrjm3rH6sPfKWUMw85HfYnjn4nH6sgvPsT6KdThsqpZwYTjCEQLGCpyw9Uz4Bmy-bIi4WUvYETgN-TLwGUv3EPj63P1RkPH6Y" \t "_blank"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Cs w:val="21"/>
          <w:highlight w:val="none"/>
        </w:rPr>
        <w:t>投标报价</w:t>
      </w:r>
      <w:r>
        <w:rPr>
          <w:rFonts w:hint="eastAsia" w:ascii="仿宋" w:hAnsi="仿宋" w:eastAsia="仿宋" w:cs="仿宋"/>
          <w:color w:val="auto"/>
          <w:kern w:val="0"/>
          <w:szCs w:val="21"/>
          <w:highlight w:val="none"/>
        </w:rPr>
        <w:fldChar w:fldCharType="end"/>
      </w:r>
      <w:r>
        <w:rPr>
          <w:rFonts w:hint="eastAsia" w:ascii="仿宋" w:hAnsi="仿宋" w:eastAsia="仿宋" w:cs="仿宋"/>
          <w:color w:val="auto"/>
          <w:kern w:val="0"/>
          <w:szCs w:val="21"/>
          <w:highlight w:val="none"/>
        </w:rPr>
        <w:t>准确性、综合因素响应不全面等问题的，由投标人自行承担相应后果。</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6.3现场考察及参加标前答疑会所发生的费用及一切责任由投标人自行承担。</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7.适用法律</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pPr>
        <w:pStyle w:val="3"/>
        <w:rPr>
          <w:rFonts w:hint="eastAsia" w:ascii="仿宋" w:hAnsi="仿宋" w:eastAsia="仿宋" w:cs="仿宋"/>
          <w:color w:val="auto"/>
          <w:sz w:val="32"/>
          <w:szCs w:val="28"/>
          <w:highlight w:val="none"/>
        </w:rPr>
      </w:pPr>
      <w:bookmarkStart w:id="41" w:name="_Toc10106_WPSOffice_Level2"/>
      <w:r>
        <w:rPr>
          <w:rFonts w:hint="eastAsia" w:ascii="仿宋" w:hAnsi="仿宋" w:eastAsia="仿宋" w:cs="仿宋"/>
          <w:color w:val="auto"/>
          <w:sz w:val="32"/>
          <w:szCs w:val="28"/>
          <w:highlight w:val="none"/>
        </w:rPr>
        <w:t>三 招标文件</w:t>
      </w:r>
      <w:bookmarkEnd w:id="41"/>
    </w:p>
    <w:p>
      <w:pPr>
        <w:tabs>
          <w:tab w:val="left" w:pos="312"/>
        </w:tabs>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8.招标文件构成</w:t>
      </w:r>
    </w:p>
    <w:p>
      <w:pPr>
        <w:adjustRightInd w:val="0"/>
        <w:snapToGrid w:val="0"/>
        <w:spacing w:line="360" w:lineRule="auto"/>
        <w:rPr>
          <w:rFonts w:hint="eastAsia" w:ascii="仿宋" w:hAnsi="仿宋" w:eastAsia="仿宋" w:cs="仿宋"/>
          <w:color w:val="auto"/>
          <w:highlight w:val="none"/>
        </w:rPr>
      </w:pPr>
      <w:r>
        <w:rPr>
          <w:rFonts w:hint="eastAsia" w:ascii="仿宋" w:hAnsi="仿宋" w:eastAsia="仿宋" w:cs="仿宋"/>
          <w:color w:val="auto"/>
          <w:szCs w:val="21"/>
          <w:highlight w:val="none"/>
        </w:rPr>
        <w:t>招标</w:t>
      </w:r>
      <w:r>
        <w:rPr>
          <w:rFonts w:hint="eastAsia" w:ascii="仿宋" w:hAnsi="仿宋" w:eastAsia="仿宋" w:cs="仿宋"/>
          <w:color w:val="auto"/>
          <w:highlight w:val="none"/>
        </w:rPr>
        <w:t>文件内容如下:</w:t>
      </w:r>
    </w:p>
    <w:p>
      <w:pPr>
        <w:adjustRightInd w:val="0"/>
        <w:snapToGrid w:val="0"/>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kern w:val="0"/>
          <w:szCs w:val="21"/>
          <w:highlight w:val="none"/>
        </w:rPr>
        <w:t>招标</w:t>
      </w:r>
      <w:r>
        <w:rPr>
          <w:rFonts w:hint="eastAsia" w:ascii="仿宋" w:hAnsi="仿宋" w:eastAsia="仿宋" w:cs="仿宋"/>
          <w:color w:val="auto"/>
          <w:highlight w:val="none"/>
        </w:rPr>
        <w:t>公告</w:t>
      </w:r>
    </w:p>
    <w:p>
      <w:pPr>
        <w:numPr>
          <w:ilvl w:val="0"/>
          <w:numId w:val="2"/>
        </w:numPr>
        <w:adjustRightInd w:val="0"/>
        <w:snapToGrid w:val="0"/>
        <w:spacing w:line="360" w:lineRule="auto"/>
        <w:ind w:firstLine="420" w:firstLineChars="200"/>
        <w:rPr>
          <w:rFonts w:hint="eastAsia" w:ascii="仿宋" w:hAnsi="仿宋" w:eastAsia="仿宋" w:cs="仿宋"/>
          <w:color w:val="auto"/>
          <w:highlight w:val="none"/>
        </w:rPr>
      </w:pPr>
      <w:bookmarkStart w:id="42" w:name="_Toc25935_WPSOffice_Level2"/>
      <w:bookmarkStart w:id="43" w:name="_Toc4961_WPSOffice_Level2"/>
      <w:bookmarkStart w:id="44" w:name="_Toc24604_WPSOffice_Level2"/>
      <w:bookmarkStart w:id="45" w:name="_Toc188_WPSOffice_Level2"/>
      <w:r>
        <w:rPr>
          <w:rFonts w:hint="eastAsia" w:ascii="仿宋" w:hAnsi="仿宋" w:eastAsia="仿宋" w:cs="仿宋"/>
          <w:color w:val="auto"/>
          <w:highlight w:val="none"/>
        </w:rPr>
        <w:t>投标人须知</w:t>
      </w:r>
      <w:bookmarkEnd w:id="42"/>
      <w:bookmarkEnd w:id="43"/>
      <w:bookmarkEnd w:id="44"/>
      <w:bookmarkEnd w:id="45"/>
    </w:p>
    <w:p>
      <w:pPr>
        <w:adjustRightInd w:val="0"/>
        <w:snapToGrid w:val="0"/>
        <w:spacing w:line="360" w:lineRule="auto"/>
        <w:ind w:firstLine="420" w:firstLineChars="200"/>
        <w:rPr>
          <w:rFonts w:hint="eastAsia" w:ascii="仿宋" w:hAnsi="仿宋" w:eastAsia="仿宋" w:cs="仿宋"/>
          <w:color w:val="auto"/>
          <w:highlight w:val="none"/>
        </w:rPr>
      </w:pPr>
      <w:bookmarkStart w:id="46" w:name="_Toc13276_WPSOffice_Level2"/>
      <w:bookmarkStart w:id="47" w:name="_Toc32235_WPSOffice_Level2"/>
      <w:bookmarkStart w:id="48" w:name="_Toc31424_WPSOffice_Level2"/>
      <w:bookmarkStart w:id="49" w:name="_Toc2443_WPSOffice_Level2"/>
      <w:r>
        <w:rPr>
          <w:rFonts w:hint="eastAsia" w:ascii="仿宋" w:hAnsi="仿宋" w:eastAsia="仿宋" w:cs="仿宋"/>
          <w:color w:val="auto"/>
          <w:highlight w:val="none"/>
        </w:rPr>
        <w:t>第二章 投标文件内容及格式</w:t>
      </w:r>
      <w:bookmarkEnd w:id="46"/>
      <w:bookmarkEnd w:id="47"/>
      <w:bookmarkEnd w:id="48"/>
      <w:bookmarkEnd w:id="49"/>
    </w:p>
    <w:p>
      <w:pPr>
        <w:adjustRightInd w:val="0"/>
        <w:snapToGrid w:val="0"/>
        <w:spacing w:line="360" w:lineRule="auto"/>
        <w:ind w:firstLine="420" w:firstLineChars="200"/>
        <w:rPr>
          <w:rFonts w:hint="eastAsia" w:ascii="仿宋" w:hAnsi="仿宋" w:eastAsia="仿宋" w:cs="仿宋"/>
          <w:color w:val="auto"/>
          <w:highlight w:val="none"/>
        </w:rPr>
      </w:pPr>
      <w:bookmarkStart w:id="50" w:name="_Toc16269_WPSOffice_Level2"/>
      <w:bookmarkStart w:id="51" w:name="_Toc24836_WPSOffice_Level2"/>
      <w:bookmarkStart w:id="52" w:name="_Toc7005_WPSOffice_Level2"/>
      <w:bookmarkStart w:id="53" w:name="_Toc4416_WPSOffice_Level2"/>
      <w:r>
        <w:rPr>
          <w:rFonts w:hint="eastAsia" w:ascii="仿宋" w:hAnsi="仿宋" w:eastAsia="仿宋" w:cs="仿宋"/>
          <w:color w:val="auto"/>
          <w:highlight w:val="none"/>
        </w:rPr>
        <w:t>第三章 货物需求</w:t>
      </w:r>
      <w:bookmarkEnd w:id="50"/>
      <w:bookmarkEnd w:id="51"/>
      <w:bookmarkEnd w:id="52"/>
      <w:bookmarkEnd w:id="53"/>
    </w:p>
    <w:p>
      <w:pPr>
        <w:adjustRightInd w:val="0"/>
        <w:snapToGrid w:val="0"/>
        <w:spacing w:line="360" w:lineRule="auto"/>
        <w:ind w:firstLine="420" w:firstLineChars="200"/>
        <w:rPr>
          <w:rFonts w:hint="eastAsia" w:ascii="仿宋" w:hAnsi="仿宋" w:eastAsia="仿宋" w:cs="仿宋"/>
          <w:color w:val="auto"/>
          <w:highlight w:val="none"/>
        </w:rPr>
      </w:pPr>
      <w:bookmarkStart w:id="54" w:name="_Toc23459_WPSOffice_Level2"/>
      <w:bookmarkStart w:id="55" w:name="_Toc25382_WPSOffice_Level2"/>
      <w:bookmarkStart w:id="56" w:name="_Toc16294_WPSOffice_Level2"/>
      <w:bookmarkStart w:id="57" w:name="_Toc16119_WPSOffice_Level2"/>
      <w:r>
        <w:rPr>
          <w:rFonts w:hint="eastAsia" w:ascii="仿宋" w:hAnsi="仿宋" w:eastAsia="仿宋" w:cs="仿宋"/>
          <w:color w:val="auto"/>
          <w:highlight w:val="none"/>
        </w:rPr>
        <w:t>第四章 评标方法</w:t>
      </w:r>
      <w:bookmarkEnd w:id="54"/>
      <w:bookmarkEnd w:id="55"/>
      <w:bookmarkEnd w:id="56"/>
      <w:bookmarkEnd w:id="57"/>
    </w:p>
    <w:p>
      <w:pPr>
        <w:adjustRightInd w:val="0"/>
        <w:snapToGrid w:val="0"/>
        <w:spacing w:line="360" w:lineRule="auto"/>
        <w:ind w:firstLine="420" w:firstLineChars="200"/>
        <w:rPr>
          <w:rFonts w:hint="eastAsia" w:ascii="仿宋" w:hAnsi="仿宋" w:eastAsia="仿宋" w:cs="仿宋"/>
          <w:color w:val="auto"/>
          <w:highlight w:val="none"/>
        </w:rPr>
      </w:pPr>
      <w:bookmarkStart w:id="58" w:name="_Toc9629_WPSOffice_Level2"/>
      <w:bookmarkStart w:id="59" w:name="_Toc17794_WPSOffice_Level2"/>
      <w:bookmarkStart w:id="60" w:name="_Toc16368_WPSOffice_Level2"/>
      <w:bookmarkStart w:id="61" w:name="_Toc28106_WPSOffice_Level2"/>
      <w:r>
        <w:rPr>
          <w:rFonts w:hint="eastAsia" w:ascii="仿宋" w:hAnsi="仿宋" w:eastAsia="仿宋" w:cs="仿宋"/>
          <w:color w:val="auto"/>
          <w:highlight w:val="none"/>
        </w:rPr>
        <w:t>第五章 政府采购合同</w:t>
      </w:r>
      <w:bookmarkEnd w:id="58"/>
      <w:bookmarkEnd w:id="59"/>
      <w:bookmarkEnd w:id="60"/>
      <w:bookmarkEnd w:id="61"/>
      <w:r>
        <w:rPr>
          <w:rFonts w:hint="eastAsia" w:ascii="仿宋" w:hAnsi="仿宋" w:eastAsia="仿宋" w:cs="仿宋"/>
          <w:color w:val="auto"/>
          <w:highlight w:val="none"/>
        </w:rPr>
        <w:t>条款及格式</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★8.2投标人应认真阅读招标文件所有的事项、格式、条款等。如投标人没有按照招标文件要求提交资料，或者投标文件没有对招标文件做出实质性响应，可能导致其投标被认定为</w:t>
      </w:r>
      <w:r>
        <w:rPr>
          <w:rFonts w:hint="eastAsia" w:ascii="仿宋" w:hAnsi="仿宋" w:eastAsia="仿宋" w:cs="仿宋"/>
          <w:b/>
          <w:bCs/>
          <w:color w:val="auto"/>
          <w:szCs w:val="21"/>
          <w:highlight w:val="none"/>
        </w:rPr>
        <w:t>投标无效</w:t>
      </w:r>
      <w:r>
        <w:rPr>
          <w:rFonts w:hint="eastAsia" w:ascii="仿宋" w:hAnsi="仿宋" w:eastAsia="仿宋" w:cs="仿宋"/>
          <w:color w:val="auto"/>
          <w:szCs w:val="21"/>
          <w:highlight w:val="none"/>
        </w:rPr>
        <w:t>。</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9.招标文件的澄清与修改</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9.2澄清或者修改的内容为招标文件的组成部分，对所有招标文件的收受人具有约束力。投标人在收到上述通知后，应及时向采购代理机构回函确认。</w:t>
      </w:r>
    </w:p>
    <w:p>
      <w:pPr>
        <w:pStyle w:val="3"/>
        <w:rPr>
          <w:rFonts w:hint="eastAsia" w:ascii="仿宋" w:hAnsi="仿宋" w:eastAsia="仿宋" w:cs="仿宋"/>
          <w:color w:val="auto"/>
          <w:sz w:val="32"/>
          <w:szCs w:val="32"/>
          <w:highlight w:val="none"/>
        </w:rPr>
      </w:pPr>
      <w:bookmarkStart w:id="62" w:name="_Toc7415_WPSOffice_Level2"/>
      <w:r>
        <w:rPr>
          <w:rFonts w:hint="eastAsia" w:ascii="仿宋" w:hAnsi="仿宋" w:eastAsia="仿宋" w:cs="仿宋"/>
          <w:color w:val="auto"/>
          <w:sz w:val="32"/>
          <w:szCs w:val="32"/>
          <w:highlight w:val="none"/>
        </w:rPr>
        <w:t>四 投标文件的编制</w:t>
      </w:r>
      <w:bookmarkEnd w:id="62"/>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10.投标范围</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10.1项目有分包的，投标人可对招标文件其中某一个分包或几个分包进行投标。</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★10.2投标人应当对所投分包在招标文件中“货物需求”所列的所有货物内容进行投标，如仅响应分包中某一部分内容，其该包投标将被认定为</w:t>
      </w:r>
      <w:r>
        <w:rPr>
          <w:rFonts w:hint="eastAsia" w:ascii="仿宋" w:hAnsi="仿宋" w:eastAsia="仿宋" w:cs="仿宋"/>
          <w:b/>
          <w:bCs/>
          <w:color w:val="auto"/>
          <w:szCs w:val="21"/>
          <w:highlight w:val="none"/>
        </w:rPr>
        <w:t>投标无效</w:t>
      </w:r>
      <w:r>
        <w:rPr>
          <w:rFonts w:hint="eastAsia" w:ascii="仿宋" w:hAnsi="仿宋" w:eastAsia="仿宋" w:cs="仿宋"/>
          <w:color w:val="auto"/>
          <w:szCs w:val="21"/>
          <w:highlight w:val="none"/>
        </w:rPr>
        <w:t>。</w:t>
      </w:r>
    </w:p>
    <w:p>
      <w:pPr>
        <w:pStyle w:val="6"/>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10.3如一个分包内包含多种产品的，采购人或采购代理机构将在投标人须知表10.3款中载明核心产品（非单一产品采购时，只能设一个核心产品），多家投标人提供的核心产品品牌相同的，按照第四章“评标办法”第4款“同一品牌产品”规定处理。</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10.4无论招标文件第三章货物需求中是否要求，投标人所投货物均应符合国家强制性标准。</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11.投标文件构成</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★11.1投标人应完整地按招标文件提供的投标文件格式及要求编写投标文件。投标文件应包括资格证明文件、符合性证明文件、其它材料三部分。具体见第二章 投标文件内容及格式。</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★11.2投标人应按招标文件提供的格式编写投标文件。招标文件提供标准格式的按标准格式填列，未提供标准格式的可自行拟定。</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11.3 样品或演示要求详见投标人须知表11.3款。</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b/>
          <w:bCs/>
          <w:color w:val="auto"/>
          <w:szCs w:val="21"/>
          <w:highlight w:val="none"/>
        </w:rPr>
        <w:t>12.投标报价</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12.1所有投标均按投标人须知表12.1款中要求货币进行报价。投标人的投标报价应遵守《中华人民共和国价格法》。同时，根据《中华人民共和国政府采购法》第三条的规定，为保证公平竞争，如有货物主体部分的赠与行为，其投标将被认定为</w:t>
      </w:r>
      <w:r>
        <w:rPr>
          <w:rFonts w:hint="eastAsia" w:ascii="仿宋" w:hAnsi="仿宋" w:eastAsia="仿宋" w:cs="仿宋"/>
          <w:b/>
          <w:bCs/>
          <w:color w:val="auto"/>
          <w:szCs w:val="21"/>
          <w:highlight w:val="none"/>
        </w:rPr>
        <w:t>投标无效</w:t>
      </w:r>
      <w:r>
        <w:rPr>
          <w:rFonts w:hint="eastAsia" w:ascii="仿宋" w:hAnsi="仿宋" w:eastAsia="仿宋" w:cs="仿宋"/>
          <w:color w:val="auto"/>
          <w:szCs w:val="21"/>
          <w:highlight w:val="none"/>
        </w:rPr>
        <w:t>。</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12.2投标价格（单价及总价）应为投标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12.3投标人应按招标文件要求在相关表格中标明投标货物及伴随服务的单价和总价，并由法定代表人（非法人组织的负责人）或其委托代理人签署。</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color w:val="auto"/>
          <w:szCs w:val="21"/>
          <w:highlight w:val="none"/>
        </w:rPr>
        <w:t>12.4投标人所报的各分项投标单价在合同履行过程中是固定不变的，不得以任何理由予以变更。任何包含价格调整要求的投标，其投标将被认定为</w:t>
      </w:r>
      <w:r>
        <w:rPr>
          <w:rFonts w:hint="eastAsia" w:ascii="仿宋" w:hAnsi="仿宋" w:eastAsia="仿宋" w:cs="仿宋"/>
          <w:b/>
          <w:bCs/>
          <w:color w:val="auto"/>
          <w:szCs w:val="21"/>
          <w:highlight w:val="none"/>
        </w:rPr>
        <w:t>投标无效。</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12.5每种货物只能有一个投标报价。采购人不接受具有附加条件的报价。</w:t>
      </w:r>
    </w:p>
    <w:p>
      <w:pPr>
        <w:adjustRightInd w:val="0"/>
        <w:snapToGrid w:val="0"/>
        <w:spacing w:line="360" w:lineRule="auto"/>
        <w:rPr>
          <w:rFonts w:hint="eastAsia" w:ascii="仿宋" w:hAnsi="仿宋" w:eastAsia="仿宋" w:cs="仿宋"/>
          <w:color w:val="auto"/>
          <w:szCs w:val="21"/>
          <w:highlight w:val="none"/>
        </w:rPr>
      </w:pPr>
      <w:bookmarkStart w:id="63" w:name="_Toc31973_WPSOffice_Level2"/>
      <w:bookmarkStart w:id="64" w:name="_Toc22507_WPSOffice_Level2"/>
      <w:r>
        <w:rPr>
          <w:rFonts w:hint="eastAsia" w:ascii="仿宋" w:hAnsi="仿宋" w:eastAsia="仿宋" w:cs="仿宋"/>
          <w:color w:val="auto"/>
          <w:szCs w:val="21"/>
          <w:highlight w:val="none"/>
        </w:rPr>
        <w:t>12.6除非招标文件另有规定，报价原则上精确到小数点后两位。</w:t>
      </w:r>
      <w:bookmarkEnd w:id="63"/>
      <w:bookmarkEnd w:id="64"/>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★13.投标保证金</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13.1投标人应提交投标人须知表13.1款中规定的投标保证金，并作为其投标的一部分。</w:t>
      </w:r>
    </w:p>
    <w:p>
      <w:pPr>
        <w:adjustRightInd w:val="0"/>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13.2投标保证金缴纳人、招标文件领取人、投标登记人和投标人必须为同一组织机构或联合体内不同成员单位，否则将视同未按招标文件规定交纳投标保证金。</w:t>
      </w:r>
    </w:p>
    <w:p>
      <w:pPr>
        <w:adjustRightInd w:val="0"/>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13.3投标人存在下列情形的，投标保证金不予退还：</w:t>
      </w:r>
    </w:p>
    <w:p>
      <w:pPr>
        <w:adjustRightInd w:val="0"/>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（1）在投标有效期内，投标人撤销投标的；</w:t>
      </w:r>
    </w:p>
    <w:p>
      <w:pPr>
        <w:adjustRightInd w:val="0"/>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（2）中标后不按本须知第34款的规定与采购人签订合同的；</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（3）中标后不按本须知第35款的规定提交履约保证金的；</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（4）中标后不按本须知第36款的规定缴纳采购代理服务费的；</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（5）存在其他违法违规行为的。</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13.4联合体投标的，可以由联合体中的一方或者共同提交投标保证金。以一方名义提交投标保证金的，对联合体各方均具有约束力。</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13.5投标保证金的退还</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13.5.1中标人应在与采购人签订合同之日起5个工作日内，及时联系保证金收受机构办理投标保证金退还手续。</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13.5.2未中标投标人的投标保证金将在中标通知书发出之日暨中标结果公告公布之日起5个工作日内无息退还。投标人应及时联系保证金收受机构办理退还投标保证金手续。</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13.5.3投标人在投标截止时间前撤回已提交的投标文件的，投标人应自采购人或者采购代理机构收到投标人书面撤回通知之日起５个工作日内，及时联系保证金收受机构办理投标保证金退还手续。</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13.5.4 政府采购投标担保函不予退回。</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13.6 因投标人自身原因导致无法及时退还的，采购人或采购代理机构将不承担相应责任。</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b/>
          <w:bCs/>
          <w:color w:val="auto"/>
          <w:szCs w:val="21"/>
          <w:highlight w:val="none"/>
        </w:rPr>
        <w:t>14.证明投标标的的合格性和符合招标文件规定的技术文件</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14.1投标人应提交证明文件，证明其投标内容符合招标文件规定。该证明文件是投标文件的一部分。</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14.2上款所述的证明文件，可以是文字资料、图纸和数据，它包括：</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（1）货物主要技术指标和性能的详细说明；</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（2）货物从采购人开始使用至招标文件规定的保质期内正常、连续地使用所必须的备件和专用工具清单，包括备件和专用工具的货源及现行价格;</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（3）对照招标文件技术规格，逐条说明所提供货物及伴随的工程和服务已对招标文件的技术规格做出了实质性的响应，或申明与技术规格条文的偏差和例外。</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b/>
          <w:bCs/>
          <w:color w:val="auto"/>
          <w:szCs w:val="21"/>
          <w:highlight w:val="none"/>
        </w:rPr>
        <w:t>15.投标有效期</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15.1投标应在投标人须知表15.1款中规定的投标有效期内保持有效。投标有效期不满足要求的投标，其投标将被认定为</w:t>
      </w:r>
      <w:r>
        <w:rPr>
          <w:rFonts w:hint="eastAsia" w:ascii="仿宋" w:hAnsi="仿宋" w:eastAsia="仿宋" w:cs="仿宋"/>
          <w:b/>
          <w:bCs/>
          <w:color w:val="auto"/>
          <w:szCs w:val="21"/>
          <w:highlight w:val="none"/>
        </w:rPr>
        <w:t>投标无效</w:t>
      </w:r>
      <w:r>
        <w:rPr>
          <w:rFonts w:hint="eastAsia" w:ascii="仿宋" w:hAnsi="仿宋" w:eastAsia="仿宋" w:cs="仿宋"/>
          <w:color w:val="auto"/>
          <w:szCs w:val="21"/>
          <w:highlight w:val="none"/>
        </w:rPr>
        <w:t>。</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16.投标文件的签署及规定</w:t>
      </w:r>
    </w:p>
    <w:p>
      <w:pPr>
        <w:adjustRightInd w:val="0"/>
        <w:snapToGrid w:val="0"/>
        <w:spacing w:line="360" w:lineRule="auto"/>
        <w:rPr>
          <w:rFonts w:hint="eastAsia" w:ascii="仿宋" w:hAnsi="仿宋" w:eastAsia="仿宋" w:cs="仿宋"/>
          <w:color w:val="auto"/>
          <w:szCs w:val="21"/>
          <w:highlight w:val="none"/>
        </w:rPr>
      </w:pPr>
      <w:bookmarkStart w:id="65" w:name="_Toc27725_WPSOffice_Level2"/>
      <w:r>
        <w:rPr>
          <w:rFonts w:hint="eastAsia" w:ascii="仿宋" w:hAnsi="仿宋" w:eastAsia="仿宋" w:cs="仿宋"/>
          <w:color w:val="auto"/>
          <w:szCs w:val="21"/>
          <w:highlight w:val="none"/>
        </w:rPr>
        <w:t>16.1投标人应按投标人须知表16.1款中的规定，准备和递交投标文件正本、副本和电子文档。</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★16.2每份投标文件封皮须清楚地标明“正本”或“副本”。若正本和副本不符，以正本为准。</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pPr>
        <w:pStyle w:val="3"/>
        <w:rPr>
          <w:rFonts w:hint="eastAsia" w:ascii="仿宋" w:hAnsi="仿宋" w:eastAsia="仿宋" w:cs="仿宋"/>
          <w:color w:val="auto"/>
          <w:sz w:val="32"/>
          <w:szCs w:val="28"/>
          <w:highlight w:val="none"/>
        </w:rPr>
      </w:pPr>
      <w:r>
        <w:rPr>
          <w:rFonts w:hint="eastAsia" w:ascii="仿宋" w:hAnsi="仿宋" w:eastAsia="仿宋" w:cs="仿宋"/>
          <w:color w:val="auto"/>
          <w:sz w:val="32"/>
          <w:szCs w:val="28"/>
          <w:highlight w:val="none"/>
        </w:rPr>
        <w:t>五 投标文件的递交</w:t>
      </w:r>
      <w:bookmarkEnd w:id="65"/>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b/>
          <w:bCs/>
          <w:color w:val="auto"/>
          <w:szCs w:val="21"/>
          <w:highlight w:val="none"/>
        </w:rPr>
        <w:t>17.投标文件的密封和标记</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17.1投标人应将投标文件密封，将正本和所有的副本、电子文档密封，并进行包封。</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17.2所有包装封皮上均应：</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（1）注明项目名称、项目编号、包号、投标人名称。</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（2）加盖投标人单位公章。</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17.3如果投标人未按上述要求密封，其投标文件将被</w:t>
      </w:r>
      <w:r>
        <w:rPr>
          <w:rFonts w:hint="eastAsia" w:ascii="仿宋" w:hAnsi="仿宋" w:eastAsia="仿宋" w:cs="仿宋"/>
          <w:b/>
          <w:bCs/>
          <w:color w:val="auto"/>
          <w:szCs w:val="21"/>
          <w:highlight w:val="none"/>
        </w:rPr>
        <w:t>拒绝接收</w:t>
      </w:r>
      <w:r>
        <w:rPr>
          <w:rFonts w:hint="eastAsia" w:ascii="仿宋" w:hAnsi="仿宋" w:eastAsia="仿宋" w:cs="仿宋"/>
          <w:color w:val="auto"/>
          <w:szCs w:val="21"/>
          <w:highlight w:val="none"/>
        </w:rPr>
        <w:t>。</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b/>
          <w:bCs/>
          <w:color w:val="auto"/>
          <w:szCs w:val="21"/>
          <w:highlight w:val="none"/>
        </w:rPr>
        <w:t>18.投标截止</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18.1投标人应在投标人须知表18.1中规定的递交投标文件截止时间前，将投标文件递交到投标人须知表18.1款中规定的地点。</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18.2采购人和采购代理机构有权按本须知的规定，延迟投标截止时间。在此情况下，采购人、采购代理机构和投标人受投标截止时间制约的所有权利和义务均应延长至新的截止时间。</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b/>
          <w:bCs/>
          <w:color w:val="auto"/>
          <w:szCs w:val="21"/>
          <w:highlight w:val="none"/>
        </w:rPr>
        <w:t>19.投标文件的接收、修改与撤回</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19.1在投标截止时间后送达的投标文件，采购人和采购代理机构将</w:t>
      </w:r>
      <w:r>
        <w:rPr>
          <w:rFonts w:hint="eastAsia" w:ascii="仿宋" w:hAnsi="仿宋" w:eastAsia="仿宋" w:cs="仿宋"/>
          <w:b/>
          <w:bCs/>
          <w:color w:val="auto"/>
          <w:szCs w:val="21"/>
          <w:highlight w:val="none"/>
        </w:rPr>
        <w:t>拒绝接收</w:t>
      </w:r>
      <w:r>
        <w:rPr>
          <w:rFonts w:hint="eastAsia" w:ascii="仿宋" w:hAnsi="仿宋" w:eastAsia="仿宋" w:cs="仿宋"/>
          <w:color w:val="auto"/>
          <w:szCs w:val="21"/>
          <w:highlight w:val="none"/>
        </w:rPr>
        <w:t>。</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19.2采购人或者采购代理机构收到投标文件后，应当如实记载投标文件的送达时间和密封情况，并向投标人出具以下签收回执。</w:t>
      </w:r>
    </w:p>
    <w:p>
      <w:pPr>
        <w:adjustRightInd w:val="0"/>
        <w:snapToGrid w:val="0"/>
        <w:spacing w:line="360" w:lineRule="auto"/>
        <w:jc w:val="center"/>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接收投标文件回执单</w:t>
      </w:r>
    </w:p>
    <w:tbl>
      <w:tblPr>
        <w:tblStyle w:val="14"/>
        <w:tblW w:w="7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5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650" w:type="dxa"/>
            <w:noWrap w:val="0"/>
            <w:vAlign w:val="center"/>
          </w:tcPr>
          <w:p>
            <w:pPr>
              <w:adjustRightInd w:val="0"/>
              <w:snapToGri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项目编号</w:t>
            </w:r>
          </w:p>
        </w:tc>
        <w:tc>
          <w:tcPr>
            <w:tcW w:w="5415" w:type="dxa"/>
            <w:noWrap w:val="0"/>
            <w:vAlign w:val="center"/>
          </w:tcPr>
          <w:p>
            <w:pPr>
              <w:adjustRightInd w:val="0"/>
              <w:snapToGrid w:val="0"/>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650" w:type="dxa"/>
            <w:noWrap w:val="0"/>
            <w:vAlign w:val="center"/>
          </w:tcPr>
          <w:p>
            <w:pPr>
              <w:adjustRightInd w:val="0"/>
              <w:snapToGri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项目名称</w:t>
            </w:r>
          </w:p>
        </w:tc>
        <w:tc>
          <w:tcPr>
            <w:tcW w:w="5415" w:type="dxa"/>
            <w:noWrap w:val="0"/>
            <w:vAlign w:val="center"/>
          </w:tcPr>
          <w:p>
            <w:pPr>
              <w:adjustRightInd w:val="0"/>
              <w:snapToGrid w:val="0"/>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650" w:type="dxa"/>
            <w:noWrap w:val="0"/>
            <w:vAlign w:val="center"/>
          </w:tcPr>
          <w:p>
            <w:pPr>
              <w:adjustRightInd w:val="0"/>
              <w:snapToGri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投标人名称</w:t>
            </w:r>
          </w:p>
        </w:tc>
        <w:tc>
          <w:tcPr>
            <w:tcW w:w="5415" w:type="dxa"/>
            <w:noWrap w:val="0"/>
            <w:vAlign w:val="center"/>
          </w:tcPr>
          <w:p>
            <w:pPr>
              <w:adjustRightInd w:val="0"/>
              <w:snapToGrid w:val="0"/>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650" w:type="dxa"/>
            <w:noWrap w:val="0"/>
            <w:vAlign w:val="center"/>
          </w:tcPr>
          <w:p>
            <w:pPr>
              <w:adjustRightInd w:val="0"/>
              <w:snapToGri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递交时间</w:t>
            </w:r>
          </w:p>
        </w:tc>
        <w:tc>
          <w:tcPr>
            <w:tcW w:w="5415" w:type="dxa"/>
            <w:noWrap w:val="0"/>
            <w:vAlign w:val="center"/>
          </w:tcPr>
          <w:p>
            <w:pPr>
              <w:adjustRightInd w:val="0"/>
              <w:snapToGrid w:val="0"/>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650" w:type="dxa"/>
            <w:noWrap w:val="0"/>
            <w:vAlign w:val="center"/>
          </w:tcPr>
          <w:p>
            <w:pPr>
              <w:adjustRightInd w:val="0"/>
              <w:snapToGri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接收单位</w:t>
            </w:r>
          </w:p>
        </w:tc>
        <w:tc>
          <w:tcPr>
            <w:tcW w:w="5415" w:type="dxa"/>
            <w:noWrap w:val="0"/>
            <w:vAlign w:val="center"/>
          </w:tcPr>
          <w:p>
            <w:pPr>
              <w:adjustRightInd w:val="0"/>
              <w:snapToGrid w:val="0"/>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650" w:type="dxa"/>
            <w:noWrap w:val="0"/>
            <w:vAlign w:val="center"/>
          </w:tcPr>
          <w:p>
            <w:pPr>
              <w:adjustRightInd w:val="0"/>
              <w:snapToGri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接收人签字</w:t>
            </w:r>
          </w:p>
        </w:tc>
        <w:tc>
          <w:tcPr>
            <w:tcW w:w="5415" w:type="dxa"/>
            <w:noWrap w:val="0"/>
            <w:vAlign w:val="center"/>
          </w:tcPr>
          <w:p>
            <w:pPr>
              <w:adjustRightInd w:val="0"/>
              <w:snapToGrid w:val="0"/>
              <w:jc w:val="center"/>
              <w:rPr>
                <w:rFonts w:hint="eastAsia" w:ascii="仿宋" w:hAnsi="仿宋" w:eastAsia="仿宋" w:cs="仿宋"/>
                <w:color w:val="auto"/>
                <w:szCs w:val="21"/>
                <w:highlight w:val="none"/>
              </w:rPr>
            </w:pPr>
          </w:p>
        </w:tc>
      </w:tr>
    </w:tbl>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19.3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19.4在投标截止时间之后，投标人不得对其投标文件做任何修改。</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19.5采购人和采购代理机构对所接收并当众宣读投标内容的投标文件概不退回。</w:t>
      </w:r>
    </w:p>
    <w:p>
      <w:pPr>
        <w:pStyle w:val="3"/>
        <w:rPr>
          <w:rFonts w:hint="eastAsia" w:ascii="仿宋" w:hAnsi="仿宋" w:eastAsia="仿宋" w:cs="仿宋"/>
          <w:color w:val="auto"/>
          <w:sz w:val="32"/>
          <w:szCs w:val="28"/>
          <w:highlight w:val="none"/>
        </w:rPr>
      </w:pPr>
      <w:bookmarkStart w:id="66" w:name="_Toc988_WPSOffice_Level2"/>
      <w:r>
        <w:rPr>
          <w:rFonts w:hint="eastAsia" w:ascii="仿宋" w:hAnsi="仿宋" w:eastAsia="仿宋" w:cs="仿宋"/>
          <w:color w:val="auto"/>
          <w:sz w:val="32"/>
          <w:szCs w:val="28"/>
          <w:highlight w:val="none"/>
        </w:rPr>
        <w:t>六 开标及评标</w:t>
      </w:r>
      <w:bookmarkEnd w:id="66"/>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b/>
          <w:bCs/>
          <w:color w:val="auto"/>
          <w:szCs w:val="21"/>
          <w:highlight w:val="none"/>
        </w:rPr>
        <w:t>20.开标</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20.1采购人和采购代理机构将按投标人须知表20.1款中规定的开标时间和地点组织公开开标并邀请所有投标人代表参加。</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投标人不足3家的，不得开标。评标委员会成员不得参加开标活动。</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未宣读投标价格、价格折扣等实质内容，评标时不予承认。</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20.3采购人或采购代理机构将对开标过程进行记录，由参加开标的各投标人代表和相关工作人员签字确认，并存档备查。投标人未参加开标或未签字确认的，视同认可开标结果。</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20.4投标人代表对开标过程和开标记录有疑义，以及认为采购人、采购代理机构相关工作人员有需要回避的情形的，应当场提出询问或者回避申请。</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b/>
          <w:bCs/>
          <w:color w:val="auto"/>
          <w:szCs w:val="21"/>
          <w:highlight w:val="none"/>
        </w:rPr>
        <w:t>21.组建评标委员会</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按照《中华人民共和国政府采购法》、《中华人民共和国政府采购法实施条例》有关规定依法组建评标委员会，负责本项目评标工作。本项目评标委员会组成详见投标人须知表21款。</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b/>
          <w:bCs/>
          <w:color w:val="auto"/>
          <w:szCs w:val="21"/>
          <w:highlight w:val="none"/>
        </w:rPr>
        <w:t>22.资格审查</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hint="eastAsia" w:ascii="仿宋" w:hAnsi="仿宋" w:eastAsia="仿宋" w:cs="仿宋"/>
          <w:b/>
          <w:bCs/>
          <w:color w:val="auto"/>
          <w:szCs w:val="21"/>
          <w:highlight w:val="none"/>
        </w:rPr>
        <w:t>投标无效</w:t>
      </w:r>
      <w:r>
        <w:rPr>
          <w:rFonts w:hint="eastAsia" w:ascii="仿宋" w:hAnsi="仿宋" w:eastAsia="仿宋" w:cs="仿宋"/>
          <w:color w:val="auto"/>
          <w:szCs w:val="21"/>
          <w:highlight w:val="none"/>
        </w:rPr>
        <w:t>；通过资格审查的投标人不足3家的，不得评标。</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22.2采购人或采购代理机构将在递交投标文件截止时间前一个工作日至资格审查结束前查询投标人的信用记录。投标人存在不良信用记录的，其投标将被认定为</w:t>
      </w:r>
      <w:r>
        <w:rPr>
          <w:rFonts w:hint="eastAsia" w:ascii="仿宋" w:hAnsi="仿宋" w:eastAsia="仿宋" w:cs="仿宋"/>
          <w:b/>
          <w:bCs/>
          <w:color w:val="auto"/>
          <w:szCs w:val="21"/>
          <w:highlight w:val="none"/>
        </w:rPr>
        <w:t>投标无效</w:t>
      </w:r>
      <w:r>
        <w:rPr>
          <w:rFonts w:hint="eastAsia" w:ascii="仿宋" w:hAnsi="仿宋" w:eastAsia="仿宋" w:cs="仿宋"/>
          <w:color w:val="auto"/>
          <w:szCs w:val="21"/>
          <w:highlight w:val="none"/>
        </w:rPr>
        <w:t>。</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以联合体形式参加投标的，联合体任何成员存在以上不良信用记录的，联合体投标将被认定为</w:t>
      </w:r>
      <w:r>
        <w:rPr>
          <w:rFonts w:hint="eastAsia" w:ascii="仿宋" w:hAnsi="仿宋" w:eastAsia="仿宋" w:cs="仿宋"/>
          <w:b/>
          <w:bCs/>
          <w:color w:val="auto"/>
          <w:szCs w:val="21"/>
          <w:highlight w:val="none"/>
        </w:rPr>
        <w:t>投标无效</w:t>
      </w:r>
      <w:r>
        <w:rPr>
          <w:rFonts w:hint="eastAsia" w:ascii="仿宋" w:hAnsi="仿宋" w:eastAsia="仿宋" w:cs="仿宋"/>
          <w:color w:val="auto"/>
          <w:szCs w:val="21"/>
          <w:highlight w:val="none"/>
        </w:rPr>
        <w:t>。</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22.2.2查询及记录方式：采购人或采购代理机构经办人将查询网页打印并存档备查。投标人不良信用记录以采购人或采购代理机构查询结果为准。</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在本招标文件规定的查询时间之后，网站信息发生的任何变更均不再作为评标依据。</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投标人自行提供的与网站信息不一致的其他证明材料亦不作为资格审查依据。</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b/>
          <w:bCs/>
          <w:color w:val="auto"/>
          <w:szCs w:val="21"/>
          <w:highlight w:val="none"/>
        </w:rPr>
        <w:t>23.符合性审查</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hint="eastAsia" w:ascii="仿宋" w:hAnsi="仿宋" w:eastAsia="仿宋" w:cs="仿宋"/>
          <w:b/>
          <w:bCs/>
          <w:color w:val="auto"/>
          <w:szCs w:val="21"/>
          <w:highlight w:val="none"/>
        </w:rPr>
        <w:t>投标无效</w:t>
      </w:r>
      <w:r>
        <w:rPr>
          <w:rFonts w:hint="eastAsia" w:ascii="仿宋" w:hAnsi="仿宋" w:eastAsia="仿宋" w:cs="仿宋"/>
          <w:color w:val="auto"/>
          <w:szCs w:val="21"/>
          <w:highlight w:val="none"/>
        </w:rPr>
        <w:t>；通过符合性审查的投标人数量不足3家的，不得作进一步的比较和评价。</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b/>
          <w:bCs/>
          <w:color w:val="auto"/>
          <w:szCs w:val="21"/>
          <w:highlight w:val="none"/>
        </w:rPr>
        <w:t>24.投标文件的澄清</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作出书面澄清、说明、补正的，其投标将被作为无效投标处理。</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24.2投标人的澄清、说明或补正将作为投标文件的一部分。</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24.3投标文件报价出现前后不一致的，按照下列规定修正：</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（1）投标文件中开标一览表内容与投标文件中相应内容不一致的，以开标一览表为准；</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（2）大写金额和小写金额不一致的，以大写金额为准；</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（3）单价金额小数点或者百分比有明显错位的，以开标一览表的总价为准，并修改单价；</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（4）总价金额与按单价汇总金额不一致的，以单价金额计算结果为准。</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同时出现两种以上不一致的，按照前款规定的顺序修正。修正后的报价经投标人确认后产生约束力，投标人不确认的，其投标将被认定为</w:t>
      </w:r>
      <w:r>
        <w:rPr>
          <w:rFonts w:hint="eastAsia" w:ascii="仿宋" w:hAnsi="仿宋" w:eastAsia="仿宋" w:cs="仿宋"/>
          <w:b/>
          <w:bCs/>
          <w:color w:val="auto"/>
          <w:szCs w:val="21"/>
          <w:highlight w:val="none"/>
        </w:rPr>
        <w:t>投标无效</w:t>
      </w:r>
      <w:r>
        <w:rPr>
          <w:rFonts w:hint="eastAsia" w:ascii="仿宋" w:hAnsi="仿宋" w:eastAsia="仿宋" w:cs="仿宋"/>
          <w:color w:val="auto"/>
          <w:szCs w:val="21"/>
          <w:highlight w:val="none"/>
        </w:rPr>
        <w:t>。</w:t>
      </w:r>
    </w:p>
    <w:p>
      <w:pPr>
        <w:adjustRightInd w:val="0"/>
        <w:snapToGrid w:val="0"/>
        <w:spacing w:line="360" w:lineRule="auto"/>
        <w:rPr>
          <w:rFonts w:hint="eastAsia" w:ascii="仿宋" w:hAnsi="仿宋" w:eastAsia="仿宋" w:cs="仿宋"/>
          <w:color w:val="auto"/>
          <w:highlight w:val="none"/>
        </w:rPr>
      </w:pPr>
      <w:r>
        <w:rPr>
          <w:rFonts w:hint="eastAsia" w:ascii="仿宋" w:hAnsi="仿宋" w:eastAsia="仿宋" w:cs="仿宋"/>
          <w:color w:val="auto"/>
          <w:szCs w:val="21"/>
          <w:highlight w:val="none"/>
        </w:rPr>
        <w:t>24.4</w:t>
      </w:r>
      <w:r>
        <w:rPr>
          <w:rFonts w:hint="eastAsia" w:ascii="仿宋" w:hAnsi="仿宋" w:eastAsia="仿宋" w:cs="仿宋"/>
          <w:b/>
          <w:bCs/>
          <w:color w:val="auto"/>
          <w:szCs w:val="21"/>
          <w:highlight w:val="none"/>
        </w:rPr>
        <w:t>评标委员会认为</w:t>
      </w:r>
      <w:r>
        <w:rPr>
          <w:rFonts w:hint="eastAsia" w:ascii="仿宋" w:hAnsi="仿宋" w:eastAsia="仿宋" w:cs="仿宋"/>
          <w:color w:val="auto"/>
          <w:szCs w:val="21"/>
          <w:highlight w:val="none"/>
        </w:rPr>
        <w:t>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w:t>
      </w:r>
      <w:r>
        <w:rPr>
          <w:rFonts w:hint="eastAsia" w:ascii="仿宋" w:hAnsi="仿宋" w:eastAsia="仿宋" w:cs="仿宋"/>
          <w:b/>
          <w:bCs/>
          <w:color w:val="auto"/>
          <w:szCs w:val="21"/>
          <w:highlight w:val="none"/>
        </w:rPr>
        <w:t>无效投标</w:t>
      </w:r>
      <w:r>
        <w:rPr>
          <w:rFonts w:hint="eastAsia" w:ascii="仿宋" w:hAnsi="仿宋" w:eastAsia="仿宋" w:cs="仿宋"/>
          <w:color w:val="auto"/>
          <w:szCs w:val="21"/>
          <w:highlight w:val="none"/>
        </w:rPr>
        <w:t>处理。提交证明材料的合理时间按第四章 评标方法规定执行。</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25样品及演示</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25.1投标人须知表11.3款中要求投标人提供样品的，按照投标人须知表25.1款中样品的评审方法以及评审标准进行评审。</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25.3演示的评审方法以及评审标准具体内容见投标人须知表25.1款。</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b/>
          <w:bCs/>
          <w:color w:val="auto"/>
          <w:szCs w:val="21"/>
          <w:highlight w:val="none"/>
        </w:rPr>
        <w:t>26.投标无效</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26.1在比较与评价之前，根据本须知的规定，评标委员会将审查每份投标文件是否实质上响应了招标文件的要求。</w:t>
      </w:r>
    </w:p>
    <w:p>
      <w:pPr>
        <w:adjustRightInd w:val="0"/>
        <w:snapToGrid w:val="0"/>
        <w:spacing w:line="360" w:lineRule="auto"/>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实质性要求是指招标文件中带有★号标识内容（包括本级及其下级编号中所有内容）等文字说明的要求。</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rPr>
        <w:t>对招标文件的实质性要求进行响应是指与招标文件中带有★号标识内容的文字说明、条款、条件和规格等要求相符。</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如果投标文件没有对招标文件的实质性要求进行响应，将作为</w:t>
      </w:r>
      <w:r>
        <w:rPr>
          <w:rFonts w:hint="eastAsia" w:ascii="仿宋" w:hAnsi="仿宋" w:eastAsia="仿宋" w:cs="仿宋"/>
          <w:b/>
          <w:bCs/>
          <w:color w:val="auto"/>
          <w:szCs w:val="21"/>
          <w:highlight w:val="none"/>
        </w:rPr>
        <w:t>无效投标</w:t>
      </w:r>
      <w:r>
        <w:rPr>
          <w:rFonts w:hint="eastAsia" w:ascii="仿宋" w:hAnsi="仿宋" w:eastAsia="仿宋" w:cs="仿宋"/>
          <w:color w:val="auto"/>
          <w:szCs w:val="21"/>
          <w:highlight w:val="none"/>
        </w:rPr>
        <w:t>处理，投标人不得再对投标文件进行任何修正从而使其投标成为实质上响应的投标。</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评标委员会决定投标的响应性只根据招标文件要求、投标文件内容及财政主管部门指定媒体发布的相关信息。</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26.2如发现下列情况之一的，其投标将被认定为</w:t>
      </w:r>
      <w:r>
        <w:rPr>
          <w:rFonts w:hint="eastAsia" w:ascii="仿宋" w:hAnsi="仿宋" w:eastAsia="仿宋" w:cs="仿宋"/>
          <w:b/>
          <w:bCs/>
          <w:color w:val="auto"/>
          <w:szCs w:val="21"/>
          <w:highlight w:val="none"/>
        </w:rPr>
        <w:t>投标无效</w:t>
      </w:r>
      <w:r>
        <w:rPr>
          <w:rFonts w:hint="eastAsia" w:ascii="仿宋" w:hAnsi="仿宋" w:eastAsia="仿宋" w:cs="仿宋"/>
          <w:color w:val="auto"/>
          <w:szCs w:val="21"/>
          <w:highlight w:val="none"/>
        </w:rPr>
        <w:t>：</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（1）未按招标文件的规定提交投标保证金的；</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（2）未按照招标文件规定要求签署、盖章的；</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（3）投标人的报价超过了招标文件中规定的预算金额或者最高限价的；</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（4）不具备招标文件中规定的资格要求的；</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（5）不符合法律、法规和招标文件中规定的其他实质性要求的。</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（6）与其他投标人串通投标，或者与采购人串通投标；</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（7）评标委员会认为投标人的报价明显低于其他通过符合性审查投标人的报价，有可能影响履约的，且投标人未按照规定证明其报价合理性的；</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（8）投标文件含有采购人不能接受的附加条件的；</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（9）属于法律、法规和招标文件规定的其他投标无效情形；</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27.比较与评价</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27.1经符合性审查合格的投标文件，评标委员会将根据招标文件确定的评标方法和标准，对其技术部分和商务部分作进一步的比较和评价。</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27.2评标严格按照招标文件的要求和条件进行。根据实际情况，在投标人须知表27.2款中规定采用下列一种评标方法，详细评标标准见第四章 评标方法。</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（1）最低评标价法，是指投标文件满足招标文件全部实质性要求，且投标报价最低的投标人为中标候选人的评标方法。</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（2）综合评分法，是指投标文件满足招标文件全部实质性要求，且按照评审因素的量化指标评审得分最高的投标人为中标候选人的评标方法。</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27.3根据</w:t>
      </w:r>
      <w:r>
        <w:rPr>
          <w:rFonts w:hint="eastAsia" w:ascii="仿宋" w:hAnsi="仿宋" w:cs="仿宋"/>
          <w:color w:val="auto"/>
          <w:szCs w:val="21"/>
          <w:highlight w:val="none"/>
        </w:rPr>
        <w:t>《财政部关于进一步加大政府采购支持中小企业力度的通知》财库〔2022〕19号、</w:t>
      </w:r>
      <w:r>
        <w:rPr>
          <w:rFonts w:hint="eastAsia" w:ascii="仿宋" w:hAnsi="仿宋" w:eastAsia="仿宋" w:cs="仿宋"/>
          <w:color w:val="auto"/>
          <w:szCs w:val="21"/>
          <w:highlight w:val="none"/>
        </w:rPr>
        <w:t>《财政部 工业和信息化部关于印发&lt;政府采购促进中小企业发展管理办法&gt;的通知》（财库[2020]46号）、《财政部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制造商企业（单位）类型声明函》（投标产品非投标人生产制造的须提供），或省级以上监狱管理局、戒毒管理局（含新疆生产建设兵团）出具的属于监狱企业的证明文件的投标人，其投标报价扣除</w:t>
      </w:r>
      <w:r>
        <w:rPr>
          <w:rFonts w:hint="eastAsia" w:ascii="仿宋" w:hAnsi="仿宋" w:cs="仿宋"/>
          <w:color w:val="auto"/>
          <w:szCs w:val="21"/>
          <w:highlight w:val="none"/>
          <w:lang w:val="en-US" w:eastAsia="zh-CN"/>
        </w:rPr>
        <w:t>10</w:t>
      </w:r>
      <w:r>
        <w:rPr>
          <w:rFonts w:hint="eastAsia" w:ascii="仿宋" w:hAnsi="仿宋" w:eastAsia="仿宋" w:cs="仿宋"/>
          <w:color w:val="auto"/>
          <w:szCs w:val="21"/>
          <w:highlight w:val="none"/>
        </w:rPr>
        <w:t>-</w:t>
      </w:r>
      <w:r>
        <w:rPr>
          <w:rFonts w:hint="eastAsia" w:ascii="仿宋" w:hAnsi="仿宋" w:cs="仿宋"/>
          <w:color w:val="auto"/>
          <w:szCs w:val="21"/>
          <w:highlight w:val="none"/>
          <w:lang w:val="en-US" w:eastAsia="zh-CN"/>
        </w:rPr>
        <w:t>2</w:t>
      </w:r>
      <w:r>
        <w:rPr>
          <w:rFonts w:hint="eastAsia" w:ascii="仿宋" w:hAnsi="仿宋" w:eastAsia="仿宋" w:cs="仿宋"/>
          <w:color w:val="auto"/>
          <w:szCs w:val="21"/>
          <w:highlight w:val="none"/>
        </w:rPr>
        <w:t>0%后参与评审。具体详见第四章 评标方法。</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27.5根据财政部、辽宁省财政厅相关规定，对于列入《辽宁省创新产品和服务目录》内的产品、服务实施政府优先采购。具体优先采购办法详见第四章 评标方法。</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b/>
          <w:bCs/>
          <w:color w:val="auto"/>
          <w:szCs w:val="21"/>
          <w:highlight w:val="none"/>
        </w:rPr>
        <w:t>28.废标</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出现下列情形之一，将导致项目</w:t>
      </w:r>
      <w:r>
        <w:rPr>
          <w:rFonts w:hint="eastAsia" w:ascii="仿宋" w:hAnsi="仿宋" w:eastAsia="仿宋" w:cs="仿宋"/>
          <w:b/>
          <w:bCs/>
          <w:color w:val="auto"/>
          <w:szCs w:val="21"/>
          <w:highlight w:val="none"/>
        </w:rPr>
        <w:t>废标</w:t>
      </w:r>
      <w:r>
        <w:rPr>
          <w:rFonts w:hint="eastAsia" w:ascii="仿宋" w:hAnsi="仿宋" w:eastAsia="仿宋" w:cs="仿宋"/>
          <w:color w:val="auto"/>
          <w:szCs w:val="21"/>
          <w:highlight w:val="none"/>
        </w:rPr>
        <w:t>：</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（1）符合专业条件的投标人或者对招标文件做实质性响应的投标人不足3家；</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（2）出现影响采购公正的违法、违规行为的；</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（3）投标人的报价均超过了采购预算或最高限价，采购人不能支付的；</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（4）因重大变故，采购任务取消的。</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29.中标候选人的推荐原则及标准</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29.1除第32条规定外，评标委员会将根据评标标准，对实质上响应招标文件的投标人按下列方法进行排序，推荐中标候选人：</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（2）采用综合评分法的，评标结果按评审后得分由高到低顺序排序。得分相同的，按第四章评标办法规定执行。</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29.2评标委员会将根据评标标准，按投标人须知表29.2款中规定的数量推荐中标候选人。</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29.3因推荐中标候选人名单产生其他问题，由评标委员会集体研究处理。</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b/>
          <w:bCs/>
          <w:color w:val="auto"/>
          <w:szCs w:val="21"/>
          <w:highlight w:val="none"/>
        </w:rPr>
        <w:t>30.保密原则</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30.1评标将在严格保密的情况下进行。</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30.2有关人员应当遵守评标工作纪律，不得泄露评审文件、评标情况和评标过程中获悉的国家秘密、商业秘密。</w:t>
      </w:r>
    </w:p>
    <w:p>
      <w:pPr>
        <w:pStyle w:val="3"/>
        <w:rPr>
          <w:rFonts w:hint="eastAsia" w:ascii="仿宋" w:hAnsi="仿宋" w:eastAsia="仿宋" w:cs="仿宋"/>
          <w:color w:val="auto"/>
          <w:sz w:val="32"/>
          <w:szCs w:val="28"/>
          <w:highlight w:val="none"/>
        </w:rPr>
      </w:pPr>
      <w:bookmarkStart w:id="67" w:name="_Toc4544_WPSOffice_Level2"/>
      <w:r>
        <w:rPr>
          <w:rFonts w:hint="eastAsia" w:ascii="仿宋" w:hAnsi="仿宋" w:eastAsia="仿宋" w:cs="仿宋"/>
          <w:color w:val="auto"/>
          <w:sz w:val="32"/>
          <w:szCs w:val="28"/>
          <w:highlight w:val="none"/>
        </w:rPr>
        <w:t>七 确定中标</w:t>
      </w:r>
      <w:bookmarkEnd w:id="67"/>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31.确定中标人</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由采购人或者采购人委托评标委员会按照投标人须知表31中规定的方式确定中标人。</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采购人在收到评标报告5个工作日内未按评标报告推荐的中标候选人顺序确定中标人，又不能说明合法理由的，视同按评标报告推荐的顺序确定排名第一的中标候选人为中标人。</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★32.采购任务取消</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因重大变故采购任务取消时，采购人有权拒绝任何供应商中标，且对受影响的投标人不承担任何责任。</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33.中标通知书</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33.1采购人或者采购代理机构应当自中标人确定之日起2个工作日内，在辽宁政府采购网及其地方分网媒体上公告中标结果。同时向中标人发出中标通知书。</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33.2中标通知书是合同的组成部分。</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b/>
          <w:bCs/>
          <w:color w:val="auto"/>
          <w:szCs w:val="21"/>
          <w:highlight w:val="none"/>
        </w:rPr>
        <w:t>34.签订合同</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34.1中标人应当自发出中标通知书之日起 30 日内，与采购人签订书面合同。</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34.2招标文件、中标人的投标文件及其澄清文件等，均为签订合同的依据。所签订的合同不得对招标文件确定的事项和中标人投标文件作实质性修改。采购人不得向中标人提出任何不合理的要求，作为签订合同的条件。</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34.3 中标人拒绝与采购人签订合同的，采购人可以按照评标报告推荐的中标候选人名单排序，确定下一中标候选人为中标人，也可以重新开展政府采购活动。</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b/>
          <w:bCs/>
          <w:color w:val="auto"/>
          <w:szCs w:val="21"/>
          <w:highlight w:val="none"/>
        </w:rPr>
        <w:t>35.履约保证金</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35.1中标人应按照投标人须知表35.1款规定向采购人缴纳履约保证金。</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35.2如果中标人没有按照上述履约保证金的规定执行，将视为拒绝签订合同并放弃中标资格，中标人的投标保证金将不予退还。在此情况下，采购人可确定下一中标候选人为中标人，也可以重新开展采购活动。</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b/>
          <w:bCs/>
          <w:color w:val="auto"/>
          <w:szCs w:val="21"/>
          <w:highlight w:val="none"/>
        </w:rPr>
        <w:t>36.采购代理服务费</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中标人须按照投标须知表36款规定，向采购代理机构支付采购代理服务费。</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37.廉洁自律规定</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37.1采购代理机构工作人员不得以不正当手段获取政府采购代理业务，不得与采购人、投标人恶意串通操纵政府采购活动。</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37.2采购代理机构工作人员不得接受采购人或者投标人组织的宴请、旅游、娱乐，不得收受礼品、现金、有价证券等，不得向采购人或者投标人报销应当由个人承担的费用。</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38.人员回避</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投标人认为采购人及其相关人员有法律法规所列与其他投标人有利害关系的，可以向采购人或采购代理机构书面提出回避申请，并说明理由。</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39.质疑与接收</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39.2质疑投标人应按照财政部门制定的《政府采购质疑函范本》格式（详见辽宁政府采购网）和《政府采购质疑和投诉办法》的要求，在法定质疑期内以纸质形式提出质疑，针对同一采购程序环节的质疑应一次性提出。</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超出法定质疑期的、重复提出的、分次提出的或内容、形式不符合《政府采购质疑和投诉办法》的，质疑投标人将依法承担不利后果。</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39.3采购代理机构质疑函接收部门、联系电话和通讯地址, 见投标人须知表39.3款。</w:t>
      </w:r>
    </w:p>
    <w:p>
      <w:pPr>
        <w:adjustRightInd w:val="0"/>
        <w:snapToGrid w:val="0"/>
        <w:spacing w:line="360" w:lineRule="auto"/>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40.履约验收</w:t>
      </w:r>
    </w:p>
    <w:p>
      <w:pPr>
        <w:adjustRightInd w:val="0"/>
        <w:snapToGrid w:val="0"/>
        <w:spacing w:line="360" w:lineRule="auto"/>
        <w:ind w:firstLine="420"/>
        <w:rPr>
          <w:rFonts w:hint="eastAsia" w:ascii="仿宋" w:hAnsi="仿宋" w:eastAsia="仿宋" w:cs="仿宋"/>
          <w:b/>
          <w:color w:val="auto"/>
          <w:highlight w:val="none"/>
        </w:rPr>
        <w:sectPr>
          <w:footerReference r:id="rId4" w:type="default"/>
          <w:pgSz w:w="11906" w:h="16838"/>
          <w:pgMar w:top="1440" w:right="1800" w:bottom="1440" w:left="1800" w:header="851" w:footer="992" w:gutter="0"/>
          <w:pgNumType w:start="1"/>
          <w:cols w:space="720" w:num="1"/>
          <w:docGrid w:type="linesAndChars" w:linePitch="312" w:charSpace="0"/>
        </w:sectPr>
      </w:pPr>
      <w:r>
        <w:rPr>
          <w:rFonts w:hint="eastAsia" w:ascii="仿宋" w:hAnsi="仿宋" w:eastAsia="仿宋" w:cs="仿宋"/>
          <w:color w:val="auto"/>
          <w:szCs w:val="21"/>
          <w:highlight w:val="none"/>
        </w:rPr>
        <w:t>本项目采购人及其委托的采购代理机构将严格按照政府采购相关法律法规以及《辽宁省政府采购履约验收管理办法》（辽财采〔2017〕603号）的要求进行验收。</w:t>
      </w:r>
    </w:p>
    <w:p>
      <w:pPr>
        <w:pStyle w:val="2"/>
        <w:adjustRightInd w:val="0"/>
        <w:snapToGrid w:val="0"/>
        <w:spacing w:before="0" w:after="0"/>
        <w:rPr>
          <w:rFonts w:hint="eastAsia" w:ascii="仿宋" w:hAnsi="仿宋" w:eastAsia="仿宋" w:cs="仿宋"/>
          <w:color w:val="auto"/>
          <w:highlight w:val="none"/>
        </w:rPr>
      </w:pPr>
      <w:bookmarkStart w:id="68" w:name="_Toc6403"/>
      <w:bookmarkStart w:id="69" w:name="_Toc17725_WPSOffice_Level1"/>
      <w:r>
        <w:rPr>
          <w:rFonts w:hint="eastAsia" w:ascii="仿宋" w:hAnsi="仿宋" w:eastAsia="仿宋" w:cs="仿宋"/>
          <w:color w:val="auto"/>
          <w:highlight w:val="none"/>
        </w:rPr>
        <w:t>第二章 投标文件内容及格式</w:t>
      </w:r>
      <w:bookmarkEnd w:id="68"/>
      <w:bookmarkEnd w:id="69"/>
    </w:p>
    <w:p>
      <w:pPr>
        <w:spacing w:before="159" w:beforeLines="50"/>
        <w:rPr>
          <w:rFonts w:hint="eastAsia" w:ascii="仿宋" w:hAnsi="仿宋" w:eastAsia="仿宋" w:cs="仿宋"/>
          <w:b/>
          <w:color w:val="auto"/>
          <w:sz w:val="24"/>
          <w:highlight w:val="none"/>
        </w:rPr>
      </w:pPr>
      <w:bookmarkStart w:id="70" w:name="投标文件内容及格式：Block"/>
      <w:bookmarkEnd w:id="70"/>
      <w:bookmarkStart w:id="71" w:name="sys_投标文件内容及格式：Block"/>
      <w:bookmarkEnd w:id="71"/>
      <w:bookmarkStart w:id="72" w:name="_Toc2481_WPSOffice_Level2"/>
      <w:bookmarkStart w:id="73" w:name="_Toc1538_WPSOffice_Level2"/>
      <w:r>
        <w:rPr>
          <w:rFonts w:hint="eastAsia" w:ascii="仿宋" w:hAnsi="仿宋" w:eastAsia="仿宋" w:cs="仿宋"/>
          <w:b/>
          <w:color w:val="auto"/>
          <w:sz w:val="24"/>
          <w:highlight w:val="none"/>
        </w:rPr>
        <w:t>一、投标文件、电子文档的外封面、封口、封皮及目录</w:t>
      </w:r>
      <w:bookmarkEnd w:id="72"/>
      <w:bookmarkEnd w:id="73"/>
    </w:p>
    <w:tbl>
      <w:tblPr>
        <w:tblStyle w:val="14"/>
        <w:tblW w:w="8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6976"/>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blHeader/>
          <w:jc w:val="center"/>
        </w:trPr>
        <w:tc>
          <w:tcPr>
            <w:tcW w:w="677" w:type="dxa"/>
            <w:noWrap w:val="0"/>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序号</w:t>
            </w:r>
          </w:p>
        </w:tc>
        <w:tc>
          <w:tcPr>
            <w:tcW w:w="6976" w:type="dxa"/>
            <w:noWrap w:val="0"/>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内容</w:t>
            </w:r>
          </w:p>
        </w:tc>
        <w:tc>
          <w:tcPr>
            <w:tcW w:w="742" w:type="dxa"/>
            <w:noWrap w:val="0"/>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77" w:type="dxa"/>
            <w:noWrap w:val="0"/>
            <w:vAlign w:val="center"/>
          </w:tcPr>
          <w:p>
            <w:pPr>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w:t>
            </w:r>
          </w:p>
        </w:tc>
        <w:tc>
          <w:tcPr>
            <w:tcW w:w="6976" w:type="dxa"/>
            <w:noWrap w:val="0"/>
            <w:vAlign w:val="center"/>
          </w:tcPr>
          <w:p>
            <w:pPr>
              <w:widowControl/>
              <w:adjustRightInd w:val="0"/>
              <w:snapToGrid w:val="0"/>
              <w:jc w:val="left"/>
              <w:rPr>
                <w:rFonts w:hint="eastAsia" w:ascii="仿宋" w:hAnsi="仿宋" w:eastAsia="仿宋" w:cs="仿宋"/>
                <w:b/>
                <w:color w:val="auto"/>
                <w:kern w:val="0"/>
                <w:szCs w:val="21"/>
                <w:highlight w:val="none"/>
              </w:rPr>
            </w:pPr>
            <w:r>
              <w:rPr>
                <w:rFonts w:hint="eastAsia" w:ascii="仿宋" w:hAnsi="仿宋" w:eastAsia="仿宋" w:cs="仿宋"/>
                <w:color w:val="auto"/>
                <w:kern w:val="0"/>
                <w:szCs w:val="21"/>
                <w:highlight w:val="none"/>
              </w:rPr>
              <w:t>投标文件、电子文档的外封面及封口</w:t>
            </w:r>
          </w:p>
        </w:tc>
        <w:tc>
          <w:tcPr>
            <w:tcW w:w="742" w:type="dxa"/>
            <w:noWrap w:val="0"/>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7" w:type="dxa"/>
            <w:noWrap w:val="0"/>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2</w:t>
            </w:r>
          </w:p>
        </w:tc>
        <w:tc>
          <w:tcPr>
            <w:tcW w:w="6976" w:type="dxa"/>
            <w:noWrap w:val="0"/>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投标文件的封皮</w:t>
            </w:r>
          </w:p>
        </w:tc>
        <w:tc>
          <w:tcPr>
            <w:tcW w:w="742" w:type="dxa"/>
            <w:noWrap w:val="0"/>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7" w:type="dxa"/>
            <w:noWrap w:val="0"/>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3</w:t>
            </w:r>
          </w:p>
        </w:tc>
        <w:tc>
          <w:tcPr>
            <w:tcW w:w="6976" w:type="dxa"/>
            <w:noWrap w:val="0"/>
            <w:vAlign w:val="center"/>
          </w:tcPr>
          <w:p>
            <w:pPr>
              <w:widowControl/>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投标文件的目录</w:t>
            </w:r>
          </w:p>
        </w:tc>
        <w:tc>
          <w:tcPr>
            <w:tcW w:w="742" w:type="dxa"/>
            <w:noWrap w:val="0"/>
            <w:vAlign w:val="center"/>
          </w:tcPr>
          <w:p>
            <w:pPr>
              <w:widowControl/>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3</w:t>
            </w:r>
          </w:p>
        </w:tc>
      </w:tr>
    </w:tbl>
    <w:p>
      <w:pPr>
        <w:snapToGrid w:val="0"/>
        <w:spacing w:before="159" w:beforeLines="50"/>
        <w:rPr>
          <w:rFonts w:hint="eastAsia" w:ascii="仿宋" w:hAnsi="仿宋" w:eastAsia="仿宋" w:cs="仿宋"/>
          <w:b/>
          <w:color w:val="auto"/>
          <w:sz w:val="24"/>
          <w:highlight w:val="none"/>
        </w:rPr>
      </w:pPr>
      <w:bookmarkStart w:id="74" w:name="_Toc1266_WPSOffice_Level2"/>
      <w:bookmarkStart w:id="75" w:name="_Toc31052_WPSOffice_Level2"/>
      <w:r>
        <w:rPr>
          <w:rFonts w:hint="eastAsia" w:ascii="仿宋" w:hAnsi="仿宋" w:eastAsia="仿宋" w:cs="仿宋"/>
          <w:b/>
          <w:color w:val="auto"/>
          <w:sz w:val="24"/>
          <w:highlight w:val="none"/>
        </w:rPr>
        <w:t>二、资格证明材料</w:t>
      </w:r>
      <w:bookmarkEnd w:id="74"/>
      <w:bookmarkEnd w:id="75"/>
      <w:r>
        <w:rPr>
          <w:rFonts w:hint="eastAsia" w:ascii="仿宋" w:hAnsi="仿宋" w:eastAsia="仿宋" w:cs="仿宋"/>
          <w:b/>
          <w:color w:val="auto"/>
          <w:sz w:val="24"/>
          <w:highlight w:val="none"/>
        </w:rPr>
        <w:t>（有一项不符合要求，不能进入下一阶段评审）</w:t>
      </w:r>
    </w:p>
    <w:tbl>
      <w:tblPr>
        <w:tblStyle w:val="14"/>
        <w:tblW w:w="8418" w:type="dxa"/>
        <w:jc w:val="center"/>
        <w:tblLayout w:type="fixed"/>
        <w:tblCellMar>
          <w:top w:w="0" w:type="dxa"/>
          <w:left w:w="0" w:type="dxa"/>
          <w:bottom w:w="0" w:type="dxa"/>
          <w:right w:w="0" w:type="dxa"/>
        </w:tblCellMar>
      </w:tblPr>
      <w:tblGrid>
        <w:gridCol w:w="671"/>
        <w:gridCol w:w="6992"/>
        <w:gridCol w:w="755"/>
      </w:tblGrid>
      <w:tr>
        <w:tblPrEx>
          <w:tblCellMar>
            <w:top w:w="0" w:type="dxa"/>
            <w:left w:w="0" w:type="dxa"/>
            <w:bottom w:w="0" w:type="dxa"/>
            <w:right w:w="0" w:type="dxa"/>
          </w:tblCellMar>
        </w:tblPrEx>
        <w:trPr>
          <w:trHeight w:val="539" w:hRule="atLeast"/>
          <w:tblHeader/>
          <w:jc w:val="center"/>
        </w:trPr>
        <w:tc>
          <w:tcPr>
            <w:tcW w:w="67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color w:val="auto"/>
                <w:szCs w:val="21"/>
                <w:highlight w:val="none"/>
              </w:rPr>
            </w:pPr>
            <w:bookmarkStart w:id="76" w:name="sys_资格性证明材料：Document"/>
            <w:bookmarkStart w:id="77" w:name="资格性证明材料：Document"/>
            <w:r>
              <w:rPr>
                <w:rFonts w:hint="eastAsia" w:ascii="仿宋" w:hAnsi="仿宋" w:eastAsia="仿宋" w:cs="仿宋"/>
                <w:color w:val="auto"/>
                <w:szCs w:val="21"/>
                <w:highlight w:val="none"/>
              </w:rPr>
              <w:t>序号</w:t>
            </w:r>
          </w:p>
        </w:tc>
        <w:tc>
          <w:tcPr>
            <w:tcW w:w="6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资格证明材料</w:t>
            </w:r>
          </w:p>
        </w:tc>
        <w:tc>
          <w:tcPr>
            <w:tcW w:w="7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格式</w:t>
            </w:r>
          </w:p>
        </w:tc>
      </w:tr>
      <w:tr>
        <w:tblPrEx>
          <w:tblCellMar>
            <w:top w:w="0" w:type="dxa"/>
            <w:left w:w="0" w:type="dxa"/>
            <w:bottom w:w="0" w:type="dxa"/>
            <w:right w:w="0" w:type="dxa"/>
          </w:tblCellMar>
        </w:tblPrEx>
        <w:trPr>
          <w:trHeight w:val="789" w:hRule="atLeast"/>
          <w:jc w:val="center"/>
        </w:trPr>
        <w:tc>
          <w:tcPr>
            <w:tcW w:w="67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6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营业执照或事业单位法人证书或执业许可证等证明文件复印件或自然人的身份证明复印件（自然人身份证明仅在自然人作为投标主体时适用）</w:t>
            </w:r>
          </w:p>
        </w:tc>
        <w:tc>
          <w:tcPr>
            <w:tcW w:w="7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color w:val="auto"/>
                <w:szCs w:val="21"/>
                <w:highlight w:val="none"/>
              </w:rPr>
            </w:pPr>
          </w:p>
        </w:tc>
      </w:tr>
      <w:tr>
        <w:tblPrEx>
          <w:tblCellMar>
            <w:top w:w="0" w:type="dxa"/>
            <w:left w:w="0" w:type="dxa"/>
            <w:bottom w:w="0" w:type="dxa"/>
            <w:right w:w="0" w:type="dxa"/>
          </w:tblCellMar>
        </w:tblPrEx>
        <w:trPr>
          <w:trHeight w:val="539" w:hRule="atLeast"/>
          <w:jc w:val="center"/>
        </w:trPr>
        <w:tc>
          <w:tcPr>
            <w:tcW w:w="67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6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djustRightInd w:val="0"/>
              <w:snapToGrid w:val="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组织机构代码证复印件（三证合一的不需提供）</w:t>
            </w:r>
          </w:p>
        </w:tc>
        <w:tc>
          <w:tcPr>
            <w:tcW w:w="7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color w:val="auto"/>
                <w:szCs w:val="21"/>
                <w:highlight w:val="none"/>
              </w:rPr>
            </w:pPr>
          </w:p>
        </w:tc>
      </w:tr>
      <w:tr>
        <w:tblPrEx>
          <w:tblCellMar>
            <w:top w:w="0" w:type="dxa"/>
            <w:left w:w="0" w:type="dxa"/>
            <w:bottom w:w="0" w:type="dxa"/>
            <w:right w:w="0" w:type="dxa"/>
          </w:tblCellMar>
        </w:tblPrEx>
        <w:trPr>
          <w:trHeight w:val="539" w:hRule="atLeast"/>
          <w:jc w:val="center"/>
        </w:trPr>
        <w:tc>
          <w:tcPr>
            <w:tcW w:w="67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3</w:t>
            </w:r>
          </w:p>
        </w:tc>
        <w:tc>
          <w:tcPr>
            <w:tcW w:w="6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djustRightInd w:val="0"/>
              <w:snapToGrid w:val="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税务登记证复印件（三证合一的不需提供）</w:t>
            </w:r>
          </w:p>
        </w:tc>
        <w:tc>
          <w:tcPr>
            <w:tcW w:w="7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color w:val="auto"/>
                <w:szCs w:val="21"/>
                <w:highlight w:val="none"/>
              </w:rPr>
            </w:pPr>
          </w:p>
        </w:tc>
      </w:tr>
      <w:tr>
        <w:tblPrEx>
          <w:tblCellMar>
            <w:top w:w="0" w:type="dxa"/>
            <w:left w:w="0" w:type="dxa"/>
            <w:bottom w:w="0" w:type="dxa"/>
            <w:right w:w="0" w:type="dxa"/>
          </w:tblCellMar>
        </w:tblPrEx>
        <w:trPr>
          <w:trHeight w:val="539" w:hRule="atLeast"/>
          <w:jc w:val="center"/>
        </w:trPr>
        <w:tc>
          <w:tcPr>
            <w:tcW w:w="67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4</w:t>
            </w:r>
          </w:p>
        </w:tc>
        <w:tc>
          <w:tcPr>
            <w:tcW w:w="6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djustRightInd w:val="0"/>
              <w:snapToGrid w:val="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法定代表人（或非法人组织负责人）身份证明书（自然人投标的无需提供）</w:t>
            </w:r>
          </w:p>
        </w:tc>
        <w:tc>
          <w:tcPr>
            <w:tcW w:w="7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4</w:t>
            </w:r>
          </w:p>
        </w:tc>
      </w:tr>
      <w:tr>
        <w:tblPrEx>
          <w:tblCellMar>
            <w:top w:w="0" w:type="dxa"/>
            <w:left w:w="0" w:type="dxa"/>
            <w:bottom w:w="0" w:type="dxa"/>
            <w:right w:w="0" w:type="dxa"/>
          </w:tblCellMar>
        </w:tblPrEx>
        <w:trPr>
          <w:trHeight w:val="539" w:hRule="atLeast"/>
          <w:jc w:val="center"/>
        </w:trPr>
        <w:tc>
          <w:tcPr>
            <w:tcW w:w="67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5</w:t>
            </w:r>
          </w:p>
        </w:tc>
        <w:tc>
          <w:tcPr>
            <w:tcW w:w="6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djustRightInd w:val="0"/>
              <w:snapToGrid w:val="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法定代表人（或非法人组织负责人）授权委托书（授权委托人参加投标的须提供）</w:t>
            </w:r>
          </w:p>
        </w:tc>
        <w:tc>
          <w:tcPr>
            <w:tcW w:w="7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5</w:t>
            </w:r>
          </w:p>
        </w:tc>
      </w:tr>
      <w:tr>
        <w:tblPrEx>
          <w:tblCellMar>
            <w:top w:w="0" w:type="dxa"/>
            <w:left w:w="0" w:type="dxa"/>
            <w:bottom w:w="0" w:type="dxa"/>
            <w:right w:w="0" w:type="dxa"/>
          </w:tblCellMar>
        </w:tblPrEx>
        <w:trPr>
          <w:trHeight w:val="529" w:hRule="atLeast"/>
          <w:jc w:val="center"/>
        </w:trPr>
        <w:tc>
          <w:tcPr>
            <w:tcW w:w="67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6</w:t>
            </w:r>
          </w:p>
        </w:tc>
        <w:tc>
          <w:tcPr>
            <w:tcW w:w="6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djustRightInd w:val="0"/>
              <w:snapToGrid w:val="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具有良好的商业信誉和健全的财务会计制度的承诺函</w:t>
            </w:r>
          </w:p>
        </w:tc>
        <w:tc>
          <w:tcPr>
            <w:tcW w:w="7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6</w:t>
            </w:r>
          </w:p>
        </w:tc>
      </w:tr>
      <w:tr>
        <w:tblPrEx>
          <w:tblCellMar>
            <w:top w:w="0" w:type="dxa"/>
            <w:left w:w="0" w:type="dxa"/>
            <w:bottom w:w="0" w:type="dxa"/>
            <w:right w:w="0" w:type="dxa"/>
          </w:tblCellMar>
        </w:tblPrEx>
        <w:trPr>
          <w:trHeight w:val="1049" w:hRule="atLeast"/>
          <w:jc w:val="center"/>
        </w:trPr>
        <w:tc>
          <w:tcPr>
            <w:tcW w:w="67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7</w:t>
            </w:r>
          </w:p>
        </w:tc>
        <w:tc>
          <w:tcPr>
            <w:tcW w:w="6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开标时间前六个月内任一个月的依法缴纳税收的缴款凭据复印件</w:t>
            </w:r>
          </w:p>
          <w:p>
            <w:pPr>
              <w:adjustRightInd w:val="0"/>
              <w:snapToGrid w:val="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（注：依法免税的投标人，应提供相关证明材料，包括相关法规要求原文及加盖单位公章的情况说明）</w:t>
            </w:r>
          </w:p>
        </w:tc>
        <w:tc>
          <w:tcPr>
            <w:tcW w:w="7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color w:val="auto"/>
                <w:szCs w:val="21"/>
                <w:highlight w:val="none"/>
              </w:rPr>
            </w:pPr>
          </w:p>
        </w:tc>
      </w:tr>
      <w:tr>
        <w:tblPrEx>
          <w:tblCellMar>
            <w:top w:w="0" w:type="dxa"/>
            <w:left w:w="0" w:type="dxa"/>
            <w:bottom w:w="0" w:type="dxa"/>
            <w:right w:w="0" w:type="dxa"/>
          </w:tblCellMar>
        </w:tblPrEx>
        <w:trPr>
          <w:trHeight w:val="1049" w:hRule="atLeast"/>
          <w:jc w:val="center"/>
        </w:trPr>
        <w:tc>
          <w:tcPr>
            <w:tcW w:w="67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8</w:t>
            </w:r>
          </w:p>
        </w:tc>
        <w:tc>
          <w:tcPr>
            <w:tcW w:w="6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开标时间前六个月内任一个月的依法缴纳社会保障资金的缴款凭据复印件（注：依法不需要缴纳社会保障资金的投标人，应提供相关证明材料，包括相关法规要求原文及加盖单位公章的情况说明）</w:t>
            </w:r>
          </w:p>
        </w:tc>
        <w:tc>
          <w:tcPr>
            <w:tcW w:w="7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color w:val="auto"/>
                <w:szCs w:val="21"/>
                <w:highlight w:val="none"/>
              </w:rPr>
            </w:pPr>
          </w:p>
        </w:tc>
      </w:tr>
      <w:tr>
        <w:tblPrEx>
          <w:tblCellMar>
            <w:top w:w="0" w:type="dxa"/>
            <w:left w:w="0" w:type="dxa"/>
            <w:bottom w:w="0" w:type="dxa"/>
            <w:right w:w="0" w:type="dxa"/>
          </w:tblCellMar>
        </w:tblPrEx>
        <w:trPr>
          <w:trHeight w:val="459" w:hRule="atLeast"/>
          <w:jc w:val="center"/>
        </w:trPr>
        <w:tc>
          <w:tcPr>
            <w:tcW w:w="67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9</w:t>
            </w:r>
          </w:p>
        </w:tc>
        <w:tc>
          <w:tcPr>
            <w:tcW w:w="6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具备履行合同所必需的设备和专业技术能力声明函</w:t>
            </w:r>
          </w:p>
        </w:tc>
        <w:tc>
          <w:tcPr>
            <w:tcW w:w="7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7</w:t>
            </w:r>
          </w:p>
        </w:tc>
      </w:tr>
      <w:tr>
        <w:tblPrEx>
          <w:tblCellMar>
            <w:top w:w="0" w:type="dxa"/>
            <w:left w:w="0" w:type="dxa"/>
            <w:bottom w:w="0" w:type="dxa"/>
            <w:right w:w="0" w:type="dxa"/>
          </w:tblCellMar>
        </w:tblPrEx>
        <w:trPr>
          <w:trHeight w:val="543" w:hRule="atLeast"/>
          <w:jc w:val="center"/>
        </w:trPr>
        <w:tc>
          <w:tcPr>
            <w:tcW w:w="67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10</w:t>
            </w:r>
          </w:p>
        </w:tc>
        <w:tc>
          <w:tcPr>
            <w:tcW w:w="6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参加政府采购活动前3年内在经营活动中没有重大违法记录的书面声明</w:t>
            </w:r>
          </w:p>
        </w:tc>
        <w:tc>
          <w:tcPr>
            <w:tcW w:w="7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8</w:t>
            </w:r>
          </w:p>
        </w:tc>
      </w:tr>
      <w:tr>
        <w:tblPrEx>
          <w:tblCellMar>
            <w:top w:w="0" w:type="dxa"/>
            <w:left w:w="0" w:type="dxa"/>
            <w:bottom w:w="0" w:type="dxa"/>
            <w:right w:w="0" w:type="dxa"/>
          </w:tblCellMar>
        </w:tblPrEx>
        <w:trPr>
          <w:trHeight w:val="372" w:hRule="atLeast"/>
          <w:jc w:val="center"/>
        </w:trPr>
        <w:tc>
          <w:tcPr>
            <w:tcW w:w="67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11</w:t>
            </w:r>
          </w:p>
        </w:tc>
        <w:tc>
          <w:tcPr>
            <w:tcW w:w="6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联合体协议书原件（如适用</w:t>
            </w:r>
            <w:r>
              <w:rPr>
                <w:rFonts w:hint="eastAsia" w:ascii="仿宋" w:hAnsi="仿宋" w:cs="仿宋"/>
                <w:color w:val="auto"/>
                <w:szCs w:val="21"/>
                <w:highlight w:val="none"/>
              </w:rPr>
              <w:t>）</w:t>
            </w:r>
            <w:r>
              <w:rPr>
                <w:rFonts w:hint="eastAsia" w:ascii="仿宋" w:hAnsi="仿宋" w:cs="仿宋"/>
                <w:b/>
                <w:bCs/>
                <w:color w:val="auto"/>
                <w:szCs w:val="21"/>
                <w:highlight w:val="none"/>
              </w:rPr>
              <w:t>（注：本项目不适用）</w:t>
            </w:r>
          </w:p>
        </w:tc>
        <w:tc>
          <w:tcPr>
            <w:tcW w:w="7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9</w:t>
            </w:r>
          </w:p>
        </w:tc>
      </w:tr>
      <w:tr>
        <w:tblPrEx>
          <w:tblCellMar>
            <w:top w:w="0" w:type="dxa"/>
            <w:left w:w="0" w:type="dxa"/>
            <w:bottom w:w="0" w:type="dxa"/>
            <w:right w:w="0" w:type="dxa"/>
          </w:tblCellMar>
        </w:tblPrEx>
        <w:trPr>
          <w:trHeight w:val="539" w:hRule="atLeast"/>
          <w:jc w:val="center"/>
        </w:trPr>
        <w:tc>
          <w:tcPr>
            <w:tcW w:w="67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12</w:t>
            </w:r>
          </w:p>
        </w:tc>
        <w:tc>
          <w:tcPr>
            <w:tcW w:w="6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其它资格证明文件（如适用，按投标人须知表1.3.4要求描述）</w:t>
            </w:r>
          </w:p>
          <w:p>
            <w:pPr>
              <w:adjustRightInd w:val="0"/>
              <w:snapToGrid w:val="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联合体各方均需提供上述证明（如适用）</w:t>
            </w:r>
          </w:p>
        </w:tc>
        <w:tc>
          <w:tcPr>
            <w:tcW w:w="7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color w:val="auto"/>
                <w:szCs w:val="21"/>
                <w:highlight w:val="none"/>
              </w:rPr>
            </w:pPr>
          </w:p>
        </w:tc>
      </w:tr>
      <w:tr>
        <w:tblPrEx>
          <w:tblCellMar>
            <w:top w:w="0" w:type="dxa"/>
            <w:left w:w="0" w:type="dxa"/>
            <w:bottom w:w="0" w:type="dxa"/>
            <w:right w:w="0" w:type="dxa"/>
          </w:tblCellMar>
        </w:tblPrEx>
        <w:trPr>
          <w:trHeight w:val="789" w:hRule="atLeast"/>
          <w:jc w:val="center"/>
        </w:trPr>
        <w:tc>
          <w:tcPr>
            <w:tcW w:w="67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13</w:t>
            </w:r>
          </w:p>
        </w:tc>
        <w:tc>
          <w:tcPr>
            <w:tcW w:w="6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left"/>
              <w:rPr>
                <w:rFonts w:hint="eastAsia" w:ascii="仿宋" w:hAnsi="仿宋" w:eastAsia="仿宋" w:cs="仿宋"/>
                <w:color w:val="auto"/>
                <w:szCs w:val="21"/>
                <w:highlight w:val="none"/>
              </w:rPr>
            </w:pPr>
            <w:r>
              <w:rPr>
                <w:rFonts w:hint="eastAsia" w:ascii="仿宋" w:hAnsi="仿宋" w:eastAsia="仿宋" w:cs="仿宋"/>
                <w:bCs/>
                <w:color w:val="auto"/>
                <w:kern w:val="0"/>
                <w:szCs w:val="21"/>
                <w:highlight w:val="none"/>
              </w:rPr>
              <w:t>联合体投标的</w:t>
            </w:r>
            <w:r>
              <w:rPr>
                <w:rFonts w:hint="eastAsia" w:ascii="仿宋" w:hAnsi="仿宋" w:eastAsia="仿宋" w:cs="仿宋"/>
                <w:color w:val="auto"/>
                <w:szCs w:val="21"/>
                <w:highlight w:val="none"/>
              </w:rPr>
              <w:t>其它资格证明文件（如适用，按投标人须知表1.4.8要求描述）</w:t>
            </w:r>
          </w:p>
          <w:p>
            <w:pPr>
              <w:adjustRightInd w:val="0"/>
              <w:snapToGrid w:val="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联合体各方均需提供上述证明（如适用</w:t>
            </w:r>
            <w:r>
              <w:rPr>
                <w:rFonts w:hint="eastAsia" w:ascii="仿宋" w:hAnsi="仿宋" w:cs="仿宋"/>
                <w:color w:val="auto"/>
                <w:szCs w:val="21"/>
                <w:highlight w:val="none"/>
              </w:rPr>
              <w:t>）</w:t>
            </w:r>
            <w:r>
              <w:rPr>
                <w:rFonts w:hint="eastAsia" w:ascii="仿宋" w:hAnsi="仿宋" w:cs="仿宋"/>
                <w:b/>
                <w:bCs/>
                <w:color w:val="auto"/>
                <w:szCs w:val="21"/>
                <w:highlight w:val="none"/>
              </w:rPr>
              <w:t>（注：本项目不适用）</w:t>
            </w:r>
          </w:p>
        </w:tc>
        <w:tc>
          <w:tcPr>
            <w:tcW w:w="7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color w:val="auto"/>
                <w:szCs w:val="21"/>
                <w:highlight w:val="none"/>
              </w:rPr>
            </w:pPr>
          </w:p>
        </w:tc>
      </w:tr>
      <w:tr>
        <w:tblPrEx>
          <w:tblCellMar>
            <w:top w:w="0" w:type="dxa"/>
            <w:left w:w="0" w:type="dxa"/>
            <w:bottom w:w="0" w:type="dxa"/>
            <w:right w:w="0" w:type="dxa"/>
          </w:tblCellMar>
        </w:tblPrEx>
        <w:trPr>
          <w:trHeight w:val="789" w:hRule="atLeast"/>
          <w:jc w:val="center"/>
        </w:trPr>
        <w:tc>
          <w:tcPr>
            <w:tcW w:w="67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14</w:t>
            </w:r>
          </w:p>
        </w:tc>
        <w:tc>
          <w:tcPr>
            <w:tcW w:w="6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信用记录（采购人或采购代理机构将在招标文件规定的审查期间内进行查询）</w:t>
            </w:r>
          </w:p>
          <w:p>
            <w:pPr>
              <w:adjustRightInd w:val="0"/>
              <w:snapToGrid w:val="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联合体各方均需查询（如适用）</w:t>
            </w:r>
          </w:p>
        </w:tc>
        <w:tc>
          <w:tcPr>
            <w:tcW w:w="7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color w:val="auto"/>
                <w:szCs w:val="21"/>
                <w:highlight w:val="none"/>
              </w:rPr>
            </w:pPr>
          </w:p>
        </w:tc>
      </w:tr>
      <w:tr>
        <w:tblPrEx>
          <w:tblCellMar>
            <w:top w:w="0" w:type="dxa"/>
            <w:left w:w="0" w:type="dxa"/>
            <w:bottom w:w="0" w:type="dxa"/>
            <w:right w:w="0" w:type="dxa"/>
          </w:tblCellMar>
        </w:tblPrEx>
        <w:trPr>
          <w:trHeight w:val="399" w:hRule="atLeast"/>
          <w:jc w:val="center"/>
        </w:trPr>
        <w:tc>
          <w:tcPr>
            <w:tcW w:w="67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15</w:t>
            </w:r>
          </w:p>
        </w:tc>
        <w:tc>
          <w:tcPr>
            <w:tcW w:w="6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w:t>
            </w:r>
          </w:p>
        </w:tc>
        <w:tc>
          <w:tcPr>
            <w:tcW w:w="7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 w:hAnsi="仿宋" w:eastAsia="仿宋" w:cs="仿宋"/>
                <w:color w:val="auto"/>
                <w:szCs w:val="21"/>
                <w:highlight w:val="none"/>
              </w:rPr>
            </w:pPr>
          </w:p>
        </w:tc>
      </w:tr>
    </w:tbl>
    <w:p>
      <w:pPr>
        <w:snapToGrid w:val="0"/>
        <w:spacing w:before="159" w:beforeLines="50"/>
        <w:rPr>
          <w:rFonts w:hint="eastAsia" w:ascii="仿宋" w:hAnsi="仿宋" w:eastAsia="仿宋" w:cs="仿宋"/>
          <w:b/>
          <w:color w:val="auto"/>
          <w:sz w:val="24"/>
          <w:highlight w:val="none"/>
        </w:rPr>
      </w:pPr>
      <w:bookmarkStart w:id="78" w:name="_Toc25206_WPSOffice_Level2"/>
      <w:bookmarkStart w:id="79" w:name="_Toc22359_WPSOffice_Level2"/>
      <w:r>
        <w:rPr>
          <w:rFonts w:hint="eastAsia" w:ascii="仿宋" w:hAnsi="仿宋" w:eastAsia="仿宋" w:cs="仿宋"/>
          <w:b/>
          <w:color w:val="auto"/>
          <w:sz w:val="24"/>
          <w:highlight w:val="none"/>
        </w:rPr>
        <w:t>三、符合性证明材料</w:t>
      </w:r>
      <w:bookmarkEnd w:id="78"/>
      <w:bookmarkEnd w:id="79"/>
      <w:r>
        <w:rPr>
          <w:rFonts w:hint="eastAsia" w:ascii="仿宋" w:hAnsi="仿宋" w:eastAsia="仿宋" w:cs="仿宋"/>
          <w:b/>
          <w:color w:val="auto"/>
          <w:sz w:val="24"/>
          <w:highlight w:val="none"/>
        </w:rPr>
        <w:t>（有一项不符合要求，不能进入下一阶段评审）</w:t>
      </w:r>
    </w:p>
    <w:bookmarkEnd w:id="76"/>
    <w:bookmarkEnd w:id="77"/>
    <w:tbl>
      <w:tblPr>
        <w:tblStyle w:val="14"/>
        <w:tblW w:w="8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6986"/>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blHeader/>
          <w:jc w:val="center"/>
        </w:trPr>
        <w:tc>
          <w:tcPr>
            <w:tcW w:w="667" w:type="dxa"/>
            <w:noWrap w:val="0"/>
            <w:vAlign w:val="center"/>
          </w:tcPr>
          <w:p>
            <w:pPr>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序号</w:t>
            </w:r>
          </w:p>
        </w:tc>
        <w:tc>
          <w:tcPr>
            <w:tcW w:w="6986" w:type="dxa"/>
            <w:noWrap w:val="0"/>
            <w:vAlign w:val="center"/>
          </w:tcPr>
          <w:p>
            <w:pPr>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符合性证明材料</w:t>
            </w:r>
          </w:p>
        </w:tc>
        <w:tc>
          <w:tcPr>
            <w:tcW w:w="756" w:type="dxa"/>
            <w:noWrap w:val="0"/>
            <w:vAlign w:val="center"/>
          </w:tcPr>
          <w:p>
            <w:pPr>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noWrap w:val="0"/>
            <w:vAlign w:val="center"/>
          </w:tcPr>
          <w:p>
            <w:pPr>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w:t>
            </w:r>
          </w:p>
        </w:tc>
        <w:tc>
          <w:tcPr>
            <w:tcW w:w="6986" w:type="dxa"/>
            <w:noWrap w:val="0"/>
            <w:vAlign w:val="center"/>
          </w:tcPr>
          <w:p>
            <w:pPr>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投标函</w:t>
            </w:r>
          </w:p>
        </w:tc>
        <w:tc>
          <w:tcPr>
            <w:tcW w:w="756" w:type="dxa"/>
            <w:noWrap w:val="0"/>
            <w:vAlign w:val="center"/>
          </w:tcPr>
          <w:p>
            <w:pPr>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noWrap w:val="0"/>
            <w:vAlign w:val="center"/>
          </w:tcPr>
          <w:p>
            <w:pPr>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2</w:t>
            </w:r>
          </w:p>
        </w:tc>
        <w:tc>
          <w:tcPr>
            <w:tcW w:w="6986" w:type="dxa"/>
            <w:noWrap w:val="0"/>
            <w:vAlign w:val="center"/>
          </w:tcPr>
          <w:p>
            <w:pPr>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递交投标保证金证明材料复印件</w:t>
            </w:r>
          </w:p>
        </w:tc>
        <w:tc>
          <w:tcPr>
            <w:tcW w:w="756" w:type="dxa"/>
            <w:noWrap w:val="0"/>
            <w:vAlign w:val="center"/>
          </w:tcPr>
          <w:p>
            <w:pPr>
              <w:adjustRightInd w:val="0"/>
              <w:snapToGrid w:val="0"/>
              <w:jc w:val="center"/>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noWrap w:val="0"/>
            <w:vAlign w:val="center"/>
          </w:tcPr>
          <w:p>
            <w:pPr>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3</w:t>
            </w:r>
          </w:p>
        </w:tc>
        <w:tc>
          <w:tcPr>
            <w:tcW w:w="6986" w:type="dxa"/>
            <w:noWrap w:val="0"/>
            <w:vAlign w:val="center"/>
          </w:tcPr>
          <w:p>
            <w:pPr>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开标一览表</w:t>
            </w:r>
          </w:p>
        </w:tc>
        <w:tc>
          <w:tcPr>
            <w:tcW w:w="756" w:type="dxa"/>
            <w:noWrap w:val="0"/>
            <w:vAlign w:val="center"/>
          </w:tcPr>
          <w:p>
            <w:pPr>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noWrap w:val="0"/>
            <w:vAlign w:val="center"/>
          </w:tcPr>
          <w:p>
            <w:pPr>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4</w:t>
            </w:r>
          </w:p>
        </w:tc>
        <w:tc>
          <w:tcPr>
            <w:tcW w:w="6986" w:type="dxa"/>
            <w:noWrap w:val="0"/>
            <w:vAlign w:val="center"/>
          </w:tcPr>
          <w:p>
            <w:pPr>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分项报价表</w:t>
            </w:r>
          </w:p>
        </w:tc>
        <w:tc>
          <w:tcPr>
            <w:tcW w:w="756" w:type="dxa"/>
            <w:noWrap w:val="0"/>
            <w:vAlign w:val="center"/>
          </w:tcPr>
          <w:p>
            <w:pPr>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noWrap w:val="0"/>
            <w:vAlign w:val="center"/>
          </w:tcPr>
          <w:p>
            <w:pPr>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5</w:t>
            </w:r>
          </w:p>
        </w:tc>
        <w:tc>
          <w:tcPr>
            <w:tcW w:w="6986" w:type="dxa"/>
            <w:noWrap w:val="0"/>
            <w:vAlign w:val="center"/>
          </w:tcPr>
          <w:p>
            <w:pPr>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技术规格偏离表</w:t>
            </w:r>
          </w:p>
        </w:tc>
        <w:tc>
          <w:tcPr>
            <w:tcW w:w="756" w:type="dxa"/>
            <w:noWrap w:val="0"/>
            <w:vAlign w:val="center"/>
          </w:tcPr>
          <w:p>
            <w:pPr>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noWrap w:val="0"/>
            <w:vAlign w:val="center"/>
          </w:tcPr>
          <w:p>
            <w:pPr>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6</w:t>
            </w:r>
          </w:p>
        </w:tc>
        <w:tc>
          <w:tcPr>
            <w:tcW w:w="6986" w:type="dxa"/>
            <w:noWrap w:val="0"/>
            <w:vAlign w:val="center"/>
          </w:tcPr>
          <w:p>
            <w:pPr>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商务条款偏离表</w:t>
            </w:r>
          </w:p>
        </w:tc>
        <w:tc>
          <w:tcPr>
            <w:tcW w:w="756" w:type="dxa"/>
            <w:noWrap w:val="0"/>
            <w:vAlign w:val="center"/>
          </w:tcPr>
          <w:p>
            <w:pPr>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noWrap w:val="0"/>
            <w:vAlign w:val="center"/>
          </w:tcPr>
          <w:p>
            <w:pPr>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7</w:t>
            </w:r>
          </w:p>
        </w:tc>
        <w:tc>
          <w:tcPr>
            <w:tcW w:w="6986" w:type="dxa"/>
            <w:noWrap w:val="0"/>
            <w:vAlign w:val="center"/>
          </w:tcPr>
          <w:p>
            <w:pPr>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投标人关联单位说明</w:t>
            </w:r>
          </w:p>
        </w:tc>
        <w:tc>
          <w:tcPr>
            <w:tcW w:w="756" w:type="dxa"/>
            <w:noWrap w:val="0"/>
            <w:vAlign w:val="center"/>
          </w:tcPr>
          <w:p>
            <w:pPr>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667" w:type="dxa"/>
            <w:noWrap w:val="0"/>
            <w:vAlign w:val="center"/>
          </w:tcPr>
          <w:p>
            <w:pPr>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8</w:t>
            </w:r>
          </w:p>
        </w:tc>
        <w:tc>
          <w:tcPr>
            <w:tcW w:w="6986" w:type="dxa"/>
            <w:noWrap w:val="0"/>
            <w:vAlign w:val="center"/>
          </w:tcPr>
          <w:p>
            <w:pPr>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《品目清单》、国家确定的认证机构出具的、处于有效期之内的《节能产品认证证书》（政府强制采购的节能产品须提供）</w:t>
            </w:r>
          </w:p>
        </w:tc>
        <w:tc>
          <w:tcPr>
            <w:tcW w:w="756" w:type="dxa"/>
            <w:noWrap w:val="0"/>
            <w:vAlign w:val="center"/>
          </w:tcPr>
          <w:p>
            <w:pPr>
              <w:adjustRightInd w:val="0"/>
              <w:snapToGrid w:val="0"/>
              <w:jc w:val="center"/>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667" w:type="dxa"/>
            <w:noWrap w:val="0"/>
            <w:vAlign w:val="center"/>
          </w:tcPr>
          <w:p>
            <w:pPr>
              <w:adjustRightInd w:val="0"/>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9</w:t>
            </w:r>
          </w:p>
        </w:tc>
        <w:tc>
          <w:tcPr>
            <w:tcW w:w="6986" w:type="dxa"/>
            <w:noWrap w:val="0"/>
            <w:vAlign w:val="center"/>
          </w:tcPr>
          <w:p>
            <w:pPr>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其他符合性证明材料：</w:t>
            </w:r>
          </w:p>
          <w:p>
            <w:pPr>
              <w:adjustRightInd w:val="0"/>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货物主要技术指标和性能的详细说明（产品技术说明书、技术白皮书、产品彩页等文字资料、图纸和数据均可），备件和专用工具清单、检测报告等（如适用）。</w:t>
            </w:r>
          </w:p>
        </w:tc>
        <w:tc>
          <w:tcPr>
            <w:tcW w:w="756" w:type="dxa"/>
            <w:noWrap w:val="0"/>
            <w:vAlign w:val="center"/>
          </w:tcPr>
          <w:p>
            <w:pPr>
              <w:adjustRightInd w:val="0"/>
              <w:snapToGrid w:val="0"/>
              <w:jc w:val="center"/>
              <w:rPr>
                <w:rFonts w:hint="eastAsia" w:ascii="仿宋" w:hAnsi="仿宋" w:eastAsia="仿宋" w:cs="仿宋"/>
                <w:color w:val="auto"/>
                <w:kern w:val="0"/>
                <w:szCs w:val="21"/>
                <w:highlight w:val="none"/>
              </w:rPr>
            </w:pPr>
          </w:p>
        </w:tc>
      </w:tr>
    </w:tbl>
    <w:p>
      <w:pPr>
        <w:snapToGrid w:val="0"/>
        <w:spacing w:before="159" w:beforeLines="50"/>
        <w:rPr>
          <w:rFonts w:hint="eastAsia" w:ascii="仿宋" w:hAnsi="仿宋" w:eastAsia="仿宋" w:cs="仿宋"/>
          <w:b/>
          <w:color w:val="auto"/>
          <w:sz w:val="24"/>
          <w:highlight w:val="none"/>
        </w:rPr>
      </w:pPr>
      <w:bookmarkStart w:id="80" w:name="_Toc24432_WPSOffice_Level2"/>
      <w:bookmarkStart w:id="81" w:name="_Toc27769_WPSOffice_Level2"/>
      <w:r>
        <w:rPr>
          <w:rFonts w:hint="eastAsia" w:ascii="仿宋" w:hAnsi="仿宋" w:eastAsia="仿宋" w:cs="仿宋"/>
          <w:b/>
          <w:color w:val="auto"/>
          <w:sz w:val="24"/>
          <w:highlight w:val="none"/>
        </w:rPr>
        <w:t>四、其他材料</w:t>
      </w:r>
      <w:bookmarkEnd w:id="80"/>
      <w:bookmarkEnd w:id="81"/>
      <w:r>
        <w:rPr>
          <w:rFonts w:hint="eastAsia" w:ascii="仿宋" w:hAnsi="仿宋" w:eastAsia="仿宋" w:cs="仿宋"/>
          <w:b/>
          <w:color w:val="auto"/>
          <w:sz w:val="24"/>
          <w:highlight w:val="none"/>
        </w:rPr>
        <w:t>（如有，请提供；如未提供，投标文件不作无效处理）</w:t>
      </w:r>
    </w:p>
    <w:tbl>
      <w:tblPr>
        <w:tblStyle w:val="14"/>
        <w:tblW w:w="8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6985"/>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blHeader/>
          <w:jc w:val="center"/>
        </w:trPr>
        <w:tc>
          <w:tcPr>
            <w:tcW w:w="668" w:type="dxa"/>
            <w:noWrap w:val="0"/>
            <w:vAlign w:val="center"/>
          </w:tcPr>
          <w:p>
            <w:pPr>
              <w:adjustRightInd w:val="0"/>
              <w:snapToGrid w:val="0"/>
              <w:jc w:val="center"/>
              <w:rPr>
                <w:rFonts w:hint="eastAsia" w:ascii="仿宋" w:hAnsi="仿宋" w:cs="仿宋"/>
                <w:color w:val="auto"/>
                <w:kern w:val="0"/>
                <w:szCs w:val="21"/>
                <w:highlight w:val="none"/>
              </w:rPr>
            </w:pPr>
            <w:bookmarkStart w:id="82" w:name="_Toc24011_WPSOffice_Level2"/>
            <w:bookmarkStart w:id="83" w:name="_Toc23127_WPSOffice_Level2"/>
            <w:r>
              <w:rPr>
                <w:rFonts w:hint="eastAsia" w:ascii="仿宋" w:hAnsi="仿宋" w:cs="仿宋"/>
                <w:color w:val="auto"/>
                <w:kern w:val="0"/>
                <w:szCs w:val="21"/>
                <w:highlight w:val="none"/>
              </w:rPr>
              <w:t>序号</w:t>
            </w:r>
          </w:p>
        </w:tc>
        <w:tc>
          <w:tcPr>
            <w:tcW w:w="6985" w:type="dxa"/>
            <w:noWrap w:val="0"/>
            <w:vAlign w:val="center"/>
          </w:tcPr>
          <w:p>
            <w:pPr>
              <w:adjustRightInd w:val="0"/>
              <w:snapToGrid w:val="0"/>
              <w:jc w:val="center"/>
              <w:rPr>
                <w:rFonts w:hint="eastAsia" w:ascii="仿宋" w:hAnsi="仿宋" w:cs="仿宋"/>
                <w:color w:val="auto"/>
                <w:kern w:val="0"/>
                <w:szCs w:val="21"/>
                <w:highlight w:val="none"/>
              </w:rPr>
            </w:pPr>
            <w:r>
              <w:rPr>
                <w:rFonts w:hint="eastAsia" w:ascii="仿宋" w:hAnsi="仿宋" w:cs="仿宋"/>
                <w:color w:val="auto"/>
                <w:kern w:val="0"/>
                <w:szCs w:val="21"/>
                <w:highlight w:val="none"/>
              </w:rPr>
              <w:t>其他材料</w:t>
            </w:r>
          </w:p>
        </w:tc>
        <w:tc>
          <w:tcPr>
            <w:tcW w:w="756" w:type="dxa"/>
            <w:noWrap w:val="0"/>
            <w:vAlign w:val="center"/>
          </w:tcPr>
          <w:p>
            <w:pPr>
              <w:adjustRightInd w:val="0"/>
              <w:snapToGrid w:val="0"/>
              <w:jc w:val="center"/>
              <w:rPr>
                <w:rFonts w:hint="eastAsia" w:ascii="仿宋" w:hAnsi="仿宋" w:cs="仿宋"/>
                <w:color w:val="auto"/>
                <w:kern w:val="0"/>
                <w:szCs w:val="21"/>
                <w:highlight w:val="none"/>
              </w:rPr>
            </w:pPr>
            <w:r>
              <w:rPr>
                <w:rFonts w:hint="eastAsia" w:ascii="仿宋" w:hAnsi="仿宋" w:cs="仿宋"/>
                <w:color w:val="auto"/>
                <w:kern w:val="0"/>
                <w:szCs w:val="21"/>
                <w:highlight w:val="none"/>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68" w:type="dxa"/>
            <w:noWrap w:val="0"/>
            <w:vAlign w:val="center"/>
          </w:tcPr>
          <w:p>
            <w:pPr>
              <w:adjustRightInd w:val="0"/>
              <w:snapToGrid w:val="0"/>
              <w:jc w:val="center"/>
              <w:rPr>
                <w:rFonts w:hint="eastAsia" w:ascii="仿宋" w:hAnsi="仿宋" w:cs="仿宋"/>
                <w:color w:val="auto"/>
                <w:kern w:val="0"/>
                <w:szCs w:val="21"/>
                <w:highlight w:val="none"/>
              </w:rPr>
            </w:pPr>
            <w:r>
              <w:rPr>
                <w:rFonts w:hint="eastAsia" w:ascii="仿宋" w:hAnsi="仿宋" w:cs="仿宋"/>
                <w:color w:val="auto"/>
                <w:kern w:val="0"/>
                <w:szCs w:val="21"/>
                <w:highlight w:val="none"/>
              </w:rPr>
              <w:t>1</w:t>
            </w:r>
          </w:p>
        </w:tc>
        <w:tc>
          <w:tcPr>
            <w:tcW w:w="6985" w:type="dxa"/>
            <w:noWrap w:val="0"/>
            <w:vAlign w:val="center"/>
          </w:tcPr>
          <w:p>
            <w:pPr>
              <w:adjustRightInd w:val="0"/>
              <w:snapToGrid w:val="0"/>
              <w:rPr>
                <w:rFonts w:hint="eastAsia" w:ascii="仿宋" w:hAnsi="仿宋" w:cs="仿宋"/>
                <w:color w:val="auto"/>
                <w:kern w:val="0"/>
                <w:szCs w:val="21"/>
                <w:highlight w:val="none"/>
              </w:rPr>
            </w:pPr>
            <w:r>
              <w:rPr>
                <w:rFonts w:hint="eastAsia" w:ascii="仿宋" w:hAnsi="仿宋" w:cs="仿宋"/>
                <w:color w:val="auto"/>
                <w:kern w:val="0"/>
                <w:szCs w:val="21"/>
                <w:highlight w:val="none"/>
              </w:rPr>
              <w:t xml:space="preserve">《品目清单》、国家确定的认证机构出具的、处于有效期之内的《节能产品、环境标志产品认证证书》（非政府强制采购的节能产品可以提供） </w:t>
            </w:r>
          </w:p>
        </w:tc>
        <w:tc>
          <w:tcPr>
            <w:tcW w:w="756" w:type="dxa"/>
            <w:noWrap w:val="0"/>
            <w:vAlign w:val="center"/>
          </w:tcPr>
          <w:p>
            <w:pPr>
              <w:adjustRightInd w:val="0"/>
              <w:snapToGrid w:val="0"/>
              <w:jc w:val="center"/>
              <w:rPr>
                <w:rFonts w:hint="eastAsia" w:ascii="仿宋" w:hAnsi="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68" w:type="dxa"/>
            <w:noWrap w:val="0"/>
            <w:vAlign w:val="center"/>
          </w:tcPr>
          <w:p>
            <w:pPr>
              <w:adjustRightInd w:val="0"/>
              <w:snapToGrid w:val="0"/>
              <w:jc w:val="center"/>
              <w:rPr>
                <w:rFonts w:hint="eastAsia" w:ascii="仿宋" w:hAnsi="仿宋" w:cs="仿宋"/>
                <w:color w:val="auto"/>
                <w:kern w:val="0"/>
                <w:szCs w:val="21"/>
                <w:highlight w:val="none"/>
              </w:rPr>
            </w:pPr>
            <w:r>
              <w:rPr>
                <w:rFonts w:hint="eastAsia" w:ascii="仿宋" w:hAnsi="仿宋" w:cs="仿宋"/>
                <w:color w:val="auto"/>
                <w:kern w:val="0"/>
                <w:szCs w:val="21"/>
                <w:highlight w:val="none"/>
              </w:rPr>
              <w:t>2</w:t>
            </w:r>
          </w:p>
        </w:tc>
        <w:tc>
          <w:tcPr>
            <w:tcW w:w="6985" w:type="dxa"/>
            <w:noWrap w:val="0"/>
            <w:vAlign w:val="center"/>
          </w:tcPr>
          <w:p>
            <w:pPr>
              <w:adjustRightInd w:val="0"/>
              <w:snapToGrid w:val="0"/>
              <w:ind w:left="25" w:leftChars="12"/>
              <w:rPr>
                <w:rFonts w:hint="eastAsia" w:ascii="仿宋" w:hAnsi="仿宋" w:cs="仿宋"/>
                <w:color w:val="auto"/>
                <w:kern w:val="0"/>
                <w:szCs w:val="21"/>
                <w:highlight w:val="none"/>
              </w:rPr>
            </w:pPr>
            <w:r>
              <w:rPr>
                <w:rFonts w:hint="eastAsia" w:ascii="仿宋" w:hAnsi="仿宋" w:cs="仿宋"/>
                <w:color w:val="auto"/>
                <w:szCs w:val="21"/>
                <w:highlight w:val="none"/>
              </w:rPr>
              <w:t>进口产品的制造厂家的授权书（如适用）</w:t>
            </w:r>
            <w:r>
              <w:rPr>
                <w:rFonts w:hint="eastAsia" w:ascii="仿宋" w:hAnsi="仿宋" w:cs="仿宋"/>
                <w:color w:val="auto"/>
                <w:kern w:val="0"/>
                <w:szCs w:val="21"/>
                <w:highlight w:val="none"/>
              </w:rPr>
              <w:t>（可调整至符合性证明材料）</w:t>
            </w:r>
          </w:p>
        </w:tc>
        <w:tc>
          <w:tcPr>
            <w:tcW w:w="756" w:type="dxa"/>
            <w:noWrap w:val="0"/>
            <w:vAlign w:val="center"/>
          </w:tcPr>
          <w:p>
            <w:pPr>
              <w:adjustRightInd w:val="0"/>
              <w:snapToGrid w:val="0"/>
              <w:jc w:val="center"/>
              <w:rPr>
                <w:rFonts w:hint="eastAsia" w:ascii="仿宋" w:hAnsi="仿宋" w:cs="仿宋"/>
                <w:color w:val="auto"/>
                <w:kern w:val="0"/>
                <w:szCs w:val="21"/>
                <w:highlight w:val="none"/>
              </w:rPr>
            </w:pPr>
            <w:r>
              <w:rPr>
                <w:rFonts w:hint="eastAsia" w:ascii="仿宋" w:hAnsi="仿宋" w:cs="仿宋"/>
                <w:color w:val="auto"/>
                <w:kern w:val="0"/>
                <w:szCs w:val="21"/>
                <w:highlight w:val="non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68" w:type="dxa"/>
            <w:noWrap w:val="0"/>
            <w:vAlign w:val="center"/>
          </w:tcPr>
          <w:p>
            <w:pPr>
              <w:adjustRightInd w:val="0"/>
              <w:snapToGrid w:val="0"/>
              <w:jc w:val="center"/>
              <w:rPr>
                <w:rFonts w:hint="eastAsia" w:ascii="仿宋" w:hAnsi="仿宋" w:cs="仿宋"/>
                <w:color w:val="auto"/>
                <w:kern w:val="0"/>
                <w:szCs w:val="21"/>
                <w:highlight w:val="none"/>
              </w:rPr>
            </w:pPr>
            <w:r>
              <w:rPr>
                <w:rFonts w:hint="eastAsia" w:ascii="仿宋" w:hAnsi="仿宋" w:cs="仿宋"/>
                <w:color w:val="auto"/>
                <w:kern w:val="0"/>
                <w:szCs w:val="21"/>
                <w:highlight w:val="none"/>
              </w:rPr>
              <w:t>3</w:t>
            </w:r>
          </w:p>
        </w:tc>
        <w:tc>
          <w:tcPr>
            <w:tcW w:w="6985" w:type="dxa"/>
            <w:noWrap w:val="0"/>
            <w:vAlign w:val="center"/>
          </w:tcPr>
          <w:p>
            <w:pPr>
              <w:adjustRightInd w:val="0"/>
              <w:snapToGrid w:val="0"/>
              <w:ind w:left="25" w:leftChars="12"/>
              <w:rPr>
                <w:rFonts w:hint="eastAsia" w:ascii="仿宋" w:hAnsi="仿宋" w:cs="仿宋"/>
                <w:color w:val="auto"/>
                <w:kern w:val="0"/>
                <w:szCs w:val="21"/>
                <w:highlight w:val="none"/>
              </w:rPr>
            </w:pPr>
            <w:r>
              <w:rPr>
                <w:rFonts w:hint="eastAsia" w:ascii="仿宋" w:hAnsi="仿宋" w:cs="仿宋"/>
                <w:color w:val="auto"/>
                <w:kern w:val="0"/>
                <w:szCs w:val="21"/>
                <w:highlight w:val="none"/>
              </w:rPr>
              <w:t>监狱企业证明文件</w:t>
            </w:r>
          </w:p>
        </w:tc>
        <w:tc>
          <w:tcPr>
            <w:tcW w:w="756" w:type="dxa"/>
            <w:noWrap w:val="0"/>
            <w:vAlign w:val="center"/>
          </w:tcPr>
          <w:p>
            <w:pPr>
              <w:adjustRightInd w:val="0"/>
              <w:snapToGrid w:val="0"/>
              <w:jc w:val="center"/>
              <w:rPr>
                <w:rFonts w:hint="eastAsia" w:ascii="仿宋" w:hAnsi="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68" w:type="dxa"/>
            <w:noWrap w:val="0"/>
            <w:vAlign w:val="center"/>
          </w:tcPr>
          <w:p>
            <w:pPr>
              <w:adjustRightInd w:val="0"/>
              <w:snapToGrid w:val="0"/>
              <w:jc w:val="center"/>
              <w:rPr>
                <w:rFonts w:hint="eastAsia" w:ascii="仿宋" w:hAnsi="仿宋" w:cs="仿宋"/>
                <w:color w:val="auto"/>
                <w:kern w:val="0"/>
                <w:szCs w:val="21"/>
                <w:highlight w:val="none"/>
              </w:rPr>
            </w:pPr>
            <w:r>
              <w:rPr>
                <w:rFonts w:hint="eastAsia" w:ascii="仿宋" w:hAnsi="仿宋" w:cs="仿宋"/>
                <w:color w:val="auto"/>
                <w:kern w:val="0"/>
                <w:szCs w:val="21"/>
                <w:highlight w:val="none"/>
              </w:rPr>
              <w:t>4</w:t>
            </w:r>
          </w:p>
        </w:tc>
        <w:tc>
          <w:tcPr>
            <w:tcW w:w="6985" w:type="dxa"/>
            <w:noWrap w:val="0"/>
            <w:vAlign w:val="center"/>
          </w:tcPr>
          <w:p>
            <w:pPr>
              <w:adjustRightInd w:val="0"/>
              <w:snapToGrid w:val="0"/>
              <w:ind w:left="25" w:leftChars="12"/>
              <w:rPr>
                <w:rFonts w:hint="eastAsia" w:ascii="仿宋" w:hAnsi="仿宋" w:cs="仿宋"/>
                <w:color w:val="auto"/>
                <w:kern w:val="0"/>
                <w:szCs w:val="21"/>
                <w:highlight w:val="none"/>
              </w:rPr>
            </w:pPr>
            <w:r>
              <w:rPr>
                <w:rFonts w:hint="eastAsia" w:ascii="仿宋" w:hAnsi="仿宋" w:cs="仿宋"/>
                <w:color w:val="auto"/>
                <w:kern w:val="0"/>
                <w:szCs w:val="21"/>
                <w:highlight w:val="none"/>
              </w:rPr>
              <w:t>中小企业声明函</w:t>
            </w:r>
          </w:p>
        </w:tc>
        <w:tc>
          <w:tcPr>
            <w:tcW w:w="756" w:type="dxa"/>
            <w:noWrap w:val="0"/>
            <w:vAlign w:val="center"/>
          </w:tcPr>
          <w:p>
            <w:pPr>
              <w:adjustRightInd w:val="0"/>
              <w:snapToGrid w:val="0"/>
              <w:jc w:val="center"/>
              <w:rPr>
                <w:rFonts w:hint="eastAsia" w:ascii="仿宋" w:hAnsi="仿宋" w:cs="仿宋"/>
                <w:color w:val="auto"/>
                <w:kern w:val="0"/>
                <w:szCs w:val="21"/>
                <w:highlight w:val="none"/>
              </w:rPr>
            </w:pPr>
            <w:r>
              <w:rPr>
                <w:rFonts w:hint="eastAsia" w:ascii="仿宋" w:hAnsi="仿宋" w:cs="仿宋"/>
                <w:color w:val="auto"/>
                <w:kern w:val="0"/>
                <w:szCs w:val="21"/>
                <w:highlight w:val="none"/>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68" w:type="dxa"/>
            <w:noWrap w:val="0"/>
            <w:vAlign w:val="center"/>
          </w:tcPr>
          <w:p>
            <w:pPr>
              <w:adjustRightInd w:val="0"/>
              <w:snapToGrid w:val="0"/>
              <w:jc w:val="center"/>
              <w:rPr>
                <w:rFonts w:hint="eastAsia" w:ascii="仿宋" w:hAnsi="仿宋" w:cs="仿宋"/>
                <w:color w:val="auto"/>
                <w:kern w:val="0"/>
                <w:szCs w:val="21"/>
                <w:highlight w:val="none"/>
              </w:rPr>
            </w:pPr>
            <w:r>
              <w:rPr>
                <w:rFonts w:hint="eastAsia" w:ascii="仿宋" w:hAnsi="仿宋" w:cs="仿宋"/>
                <w:color w:val="auto"/>
                <w:kern w:val="0"/>
                <w:szCs w:val="21"/>
                <w:highlight w:val="none"/>
              </w:rPr>
              <w:t>5</w:t>
            </w:r>
          </w:p>
        </w:tc>
        <w:tc>
          <w:tcPr>
            <w:tcW w:w="6985" w:type="dxa"/>
            <w:noWrap w:val="0"/>
            <w:vAlign w:val="center"/>
          </w:tcPr>
          <w:p>
            <w:pPr>
              <w:adjustRightInd w:val="0"/>
              <w:snapToGrid w:val="0"/>
              <w:ind w:left="-2"/>
              <w:rPr>
                <w:rFonts w:hint="eastAsia" w:ascii="仿宋" w:hAnsi="仿宋" w:cs="仿宋"/>
                <w:color w:val="auto"/>
                <w:kern w:val="0"/>
                <w:szCs w:val="21"/>
                <w:highlight w:val="none"/>
              </w:rPr>
            </w:pPr>
            <w:r>
              <w:rPr>
                <w:rFonts w:hint="eastAsia" w:ascii="仿宋" w:hAnsi="仿宋" w:cs="仿宋"/>
                <w:color w:val="auto"/>
                <w:szCs w:val="21"/>
                <w:highlight w:val="none"/>
              </w:rPr>
              <w:t>残疾人福利性单位声明函</w:t>
            </w:r>
          </w:p>
        </w:tc>
        <w:tc>
          <w:tcPr>
            <w:tcW w:w="756" w:type="dxa"/>
            <w:noWrap w:val="0"/>
            <w:vAlign w:val="center"/>
          </w:tcPr>
          <w:p>
            <w:pPr>
              <w:adjustRightInd w:val="0"/>
              <w:snapToGrid w:val="0"/>
              <w:jc w:val="center"/>
              <w:rPr>
                <w:rFonts w:hint="eastAsia" w:ascii="仿宋" w:hAnsi="仿宋" w:cs="仿宋"/>
                <w:color w:val="auto"/>
                <w:kern w:val="0"/>
                <w:szCs w:val="21"/>
                <w:highlight w:val="none"/>
              </w:rPr>
            </w:pPr>
            <w:r>
              <w:rPr>
                <w:rFonts w:hint="eastAsia" w:ascii="仿宋" w:hAnsi="仿宋" w:cs="仿宋"/>
                <w:color w:val="auto"/>
                <w:kern w:val="0"/>
                <w:szCs w:val="21"/>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68" w:type="dxa"/>
            <w:noWrap w:val="0"/>
            <w:vAlign w:val="center"/>
          </w:tcPr>
          <w:p>
            <w:pPr>
              <w:adjustRightInd w:val="0"/>
              <w:snapToGrid w:val="0"/>
              <w:jc w:val="center"/>
              <w:rPr>
                <w:rFonts w:hint="eastAsia" w:ascii="仿宋" w:hAnsi="仿宋" w:cs="仿宋"/>
                <w:color w:val="auto"/>
                <w:kern w:val="0"/>
                <w:szCs w:val="21"/>
                <w:highlight w:val="none"/>
              </w:rPr>
            </w:pPr>
            <w:r>
              <w:rPr>
                <w:rFonts w:hint="eastAsia" w:ascii="仿宋" w:hAnsi="仿宋" w:cs="仿宋"/>
                <w:color w:val="auto"/>
                <w:kern w:val="0"/>
                <w:szCs w:val="21"/>
                <w:highlight w:val="none"/>
              </w:rPr>
              <w:t>6</w:t>
            </w:r>
          </w:p>
        </w:tc>
        <w:tc>
          <w:tcPr>
            <w:tcW w:w="6985" w:type="dxa"/>
            <w:noWrap w:val="0"/>
            <w:vAlign w:val="center"/>
          </w:tcPr>
          <w:p>
            <w:pPr>
              <w:adjustRightInd w:val="0"/>
              <w:snapToGrid w:val="0"/>
              <w:ind w:left="25" w:leftChars="12"/>
              <w:rPr>
                <w:rFonts w:hint="eastAsia" w:ascii="仿宋" w:hAnsi="仿宋" w:cs="仿宋"/>
                <w:color w:val="auto"/>
                <w:szCs w:val="21"/>
                <w:highlight w:val="none"/>
              </w:rPr>
            </w:pPr>
            <w:r>
              <w:rPr>
                <w:rFonts w:hint="eastAsia" w:ascii="仿宋" w:hAnsi="仿宋" w:cs="仿宋"/>
                <w:color w:val="auto"/>
                <w:szCs w:val="21"/>
                <w:highlight w:val="none"/>
              </w:rPr>
              <w:t>列入《辽宁省创新产品和服务目录》内的产品、服务的证明材料（如适用）</w:t>
            </w:r>
          </w:p>
          <w:p>
            <w:pPr>
              <w:adjustRightInd w:val="0"/>
              <w:snapToGrid w:val="0"/>
              <w:ind w:left="25" w:leftChars="12"/>
              <w:rPr>
                <w:rFonts w:hint="eastAsia" w:ascii="仿宋" w:hAnsi="仿宋" w:cs="仿宋"/>
                <w:color w:val="auto"/>
                <w:szCs w:val="21"/>
                <w:highlight w:val="none"/>
              </w:rPr>
            </w:pPr>
            <w:r>
              <w:rPr>
                <w:rFonts w:hint="eastAsia" w:ascii="仿宋" w:hAnsi="仿宋" w:cs="仿宋"/>
                <w:color w:val="auto"/>
                <w:szCs w:val="21"/>
                <w:highlight w:val="none"/>
              </w:rPr>
              <w:t>（此项要求可视实际情况设置在符合性证明材料或其他材料中）</w:t>
            </w:r>
          </w:p>
        </w:tc>
        <w:tc>
          <w:tcPr>
            <w:tcW w:w="756" w:type="dxa"/>
            <w:noWrap w:val="0"/>
            <w:vAlign w:val="center"/>
          </w:tcPr>
          <w:p>
            <w:pPr>
              <w:adjustRightInd w:val="0"/>
              <w:snapToGrid w:val="0"/>
              <w:jc w:val="center"/>
              <w:rPr>
                <w:rFonts w:hint="eastAsia" w:ascii="仿宋" w:hAnsi="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68" w:type="dxa"/>
            <w:noWrap w:val="0"/>
            <w:vAlign w:val="center"/>
          </w:tcPr>
          <w:p>
            <w:pPr>
              <w:adjustRightInd w:val="0"/>
              <w:snapToGrid w:val="0"/>
              <w:jc w:val="center"/>
              <w:rPr>
                <w:rFonts w:hint="eastAsia" w:ascii="仿宋" w:hAnsi="仿宋" w:cs="仿宋"/>
                <w:color w:val="auto"/>
                <w:kern w:val="0"/>
                <w:szCs w:val="21"/>
                <w:highlight w:val="none"/>
              </w:rPr>
            </w:pPr>
          </w:p>
        </w:tc>
        <w:tc>
          <w:tcPr>
            <w:tcW w:w="6985" w:type="dxa"/>
            <w:noWrap w:val="0"/>
            <w:vAlign w:val="center"/>
          </w:tcPr>
          <w:p>
            <w:pPr>
              <w:pStyle w:val="33"/>
              <w:adjustRightInd w:val="0"/>
              <w:snapToGrid w:val="0"/>
              <w:ind w:left="25" w:leftChars="12" w:firstLine="0" w:firstLineChars="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w:t>
            </w:r>
          </w:p>
        </w:tc>
        <w:tc>
          <w:tcPr>
            <w:tcW w:w="756" w:type="dxa"/>
            <w:noWrap w:val="0"/>
            <w:vAlign w:val="center"/>
          </w:tcPr>
          <w:p>
            <w:pPr>
              <w:adjustRightInd w:val="0"/>
              <w:snapToGrid w:val="0"/>
              <w:jc w:val="center"/>
              <w:rPr>
                <w:rFonts w:hint="eastAsia" w:ascii="仿宋" w:hAnsi="仿宋" w:cs="仿宋"/>
                <w:color w:val="auto"/>
                <w:kern w:val="0"/>
                <w:szCs w:val="21"/>
                <w:highlight w:val="none"/>
              </w:rPr>
            </w:pPr>
          </w:p>
        </w:tc>
      </w:tr>
    </w:tbl>
    <w:p>
      <w:pPr>
        <w:adjustRightInd w:val="0"/>
        <w:snapToGrid w:val="0"/>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重要提示：</w:t>
      </w:r>
      <w:bookmarkEnd w:id="82"/>
      <w:bookmarkEnd w:id="83"/>
    </w:p>
    <w:p>
      <w:pPr>
        <w:adjustRightInd w:val="0"/>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1、投标人提供的证明材料，除需要投标人填报或有特殊说明外，均须按要求提供。</w:t>
      </w:r>
      <w:r>
        <w:rPr>
          <w:rFonts w:hint="eastAsia" w:ascii="仿宋" w:hAnsi="仿宋" w:eastAsia="仿宋" w:cs="仿宋"/>
          <w:b/>
          <w:bCs/>
          <w:color w:val="auto"/>
          <w:szCs w:val="21"/>
          <w:highlight w:val="none"/>
        </w:rPr>
        <w:t xml:space="preserve"> </w:t>
      </w:r>
    </w:p>
    <w:p>
      <w:pPr>
        <w:adjustRightInd w:val="0"/>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2、投标人在编制投标文件时，对于给定格式的文件内容，必须按照给定的标准格式进行填报；对于没有给定标准格式的文件内容，可以由投标人自行设计。</w:t>
      </w:r>
    </w:p>
    <w:p>
      <w:pPr>
        <w:adjustRightInd w:val="0"/>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3、投标文件应用中文书写。投标文件中所附或所引用的材料不是中文时，应附中文译本，并加盖单位公章（自然人投标的，无需加盖单位公章，需要签字）。</w:t>
      </w:r>
    </w:p>
    <w:p>
      <w:pPr>
        <w:adjustRightInd w:val="0"/>
        <w:snapToGrid w:val="0"/>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szCs w:val="21"/>
          <w:highlight w:val="none"/>
        </w:rPr>
        <w:t>4、</w:t>
      </w:r>
      <w:r>
        <w:rPr>
          <w:rFonts w:hint="eastAsia" w:ascii="仿宋" w:hAnsi="仿宋" w:eastAsia="仿宋" w:cs="仿宋"/>
          <w:b/>
          <w:bCs/>
          <w:color w:val="auto"/>
          <w:szCs w:val="21"/>
          <w:highlight w:val="none"/>
        </w:rPr>
        <w:t>“资格证明材料”</w:t>
      </w:r>
      <w:r>
        <w:rPr>
          <w:rFonts w:hint="eastAsia" w:ascii="仿宋" w:hAnsi="仿宋" w:eastAsia="仿宋" w:cs="仿宋"/>
          <w:color w:val="auto"/>
          <w:highlight w:val="none"/>
        </w:rPr>
        <w:t>所列内容即为采购项目的资格审查条件，有一项不符合要求，不能进入下一阶段评审。</w:t>
      </w:r>
    </w:p>
    <w:p>
      <w:pPr>
        <w:adjustRightInd w:val="0"/>
        <w:snapToGrid w:val="0"/>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5、</w:t>
      </w:r>
      <w:r>
        <w:rPr>
          <w:rFonts w:hint="eastAsia" w:ascii="仿宋" w:hAnsi="仿宋" w:eastAsia="仿宋" w:cs="仿宋"/>
          <w:b/>
          <w:bCs/>
          <w:color w:val="auto"/>
          <w:szCs w:val="21"/>
          <w:highlight w:val="none"/>
        </w:rPr>
        <w:t>“符合性证明材料”</w:t>
      </w:r>
      <w:r>
        <w:rPr>
          <w:rFonts w:hint="eastAsia" w:ascii="仿宋" w:hAnsi="仿宋" w:eastAsia="仿宋" w:cs="仿宋"/>
          <w:color w:val="auto"/>
          <w:highlight w:val="none"/>
        </w:rPr>
        <w:t>所列内容即为采购项目的符合性审查条件，有一项不符合要求，不能进入下一阶段评审。</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highlight w:val="none"/>
        </w:rPr>
        <w:t>6、</w:t>
      </w:r>
      <w:r>
        <w:rPr>
          <w:rFonts w:hint="eastAsia" w:ascii="仿宋" w:hAnsi="仿宋" w:eastAsia="仿宋" w:cs="仿宋"/>
          <w:color w:val="auto"/>
          <w:szCs w:val="21"/>
          <w:highlight w:val="none"/>
        </w:rPr>
        <w:t>“其他材料”</w:t>
      </w:r>
    </w:p>
    <w:p>
      <w:pPr>
        <w:adjustRightInd w:val="0"/>
        <w:snapToGrid w:val="0"/>
        <w:spacing w:line="360" w:lineRule="auto"/>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szCs w:val="21"/>
          <w:highlight w:val="none"/>
        </w:rPr>
        <w:t>（1）</w:t>
      </w:r>
      <w:r>
        <w:rPr>
          <w:rFonts w:hint="eastAsia" w:ascii="仿宋" w:hAnsi="仿宋" w:eastAsia="仿宋" w:cs="仿宋"/>
          <w:color w:val="auto"/>
          <w:kern w:val="0"/>
          <w:szCs w:val="21"/>
          <w:highlight w:val="none"/>
        </w:rPr>
        <w:t>综合评分法：</w:t>
      </w:r>
      <w:r>
        <w:rPr>
          <w:rFonts w:hint="eastAsia" w:ascii="仿宋" w:hAnsi="仿宋" w:eastAsia="仿宋" w:cs="仿宋"/>
          <w:color w:val="auto"/>
          <w:szCs w:val="21"/>
          <w:highlight w:val="none"/>
        </w:rPr>
        <w:t>投标人可就</w:t>
      </w:r>
      <w:r>
        <w:rPr>
          <w:rFonts w:hint="eastAsia" w:ascii="仿宋" w:hAnsi="仿宋" w:eastAsia="仿宋" w:cs="仿宋"/>
          <w:color w:val="auto"/>
          <w:kern w:val="0"/>
          <w:szCs w:val="21"/>
          <w:highlight w:val="none"/>
        </w:rPr>
        <w:t>招标文件要求以及评分细则中各项要求提供相应材料。</w:t>
      </w:r>
    </w:p>
    <w:p>
      <w:pPr>
        <w:adjustRightInd w:val="0"/>
        <w:snapToGrid w:val="0"/>
        <w:spacing w:line="360" w:lineRule="auto"/>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szCs w:val="21"/>
          <w:highlight w:val="none"/>
        </w:rPr>
        <w:t>（2）</w:t>
      </w:r>
      <w:r>
        <w:rPr>
          <w:rFonts w:hint="eastAsia" w:ascii="仿宋" w:hAnsi="仿宋" w:eastAsia="仿宋" w:cs="仿宋"/>
          <w:color w:val="auto"/>
          <w:kern w:val="0"/>
          <w:szCs w:val="21"/>
          <w:highlight w:val="none"/>
        </w:rPr>
        <w:t>最低评标价法：</w:t>
      </w:r>
      <w:r>
        <w:rPr>
          <w:rFonts w:hint="eastAsia" w:ascii="仿宋" w:hAnsi="仿宋" w:eastAsia="仿宋" w:cs="仿宋"/>
          <w:color w:val="auto"/>
          <w:szCs w:val="21"/>
          <w:highlight w:val="none"/>
        </w:rPr>
        <w:t>投标人可就</w:t>
      </w:r>
      <w:r>
        <w:rPr>
          <w:rFonts w:hint="eastAsia" w:ascii="仿宋" w:hAnsi="仿宋" w:eastAsia="仿宋" w:cs="仿宋"/>
          <w:color w:val="auto"/>
          <w:kern w:val="0"/>
          <w:szCs w:val="21"/>
          <w:highlight w:val="none"/>
        </w:rPr>
        <w:t>招标文件要求提供相应材料。</w:t>
      </w:r>
    </w:p>
    <w:p>
      <w:pPr>
        <w:snapToGrid w:val="0"/>
        <w:spacing w:line="276" w:lineRule="auto"/>
        <w:ind w:firstLine="420" w:firstLineChars="200"/>
        <w:jc w:val="left"/>
        <w:rPr>
          <w:rFonts w:hint="eastAsia" w:ascii="仿宋" w:hAnsi="仿宋" w:eastAsia="仿宋" w:cs="仿宋"/>
          <w:color w:val="auto"/>
          <w:szCs w:val="21"/>
          <w:highlight w:val="none"/>
        </w:rPr>
      </w:pPr>
    </w:p>
    <w:p>
      <w:pPr>
        <w:snapToGrid w:val="0"/>
        <w:spacing w:line="276" w:lineRule="auto"/>
        <w:ind w:firstLine="420" w:firstLineChars="200"/>
        <w:jc w:val="left"/>
        <w:rPr>
          <w:rFonts w:hint="eastAsia" w:ascii="仿宋" w:hAnsi="仿宋" w:eastAsia="仿宋" w:cs="仿宋"/>
          <w:color w:val="auto"/>
          <w:szCs w:val="21"/>
          <w:highlight w:val="none"/>
        </w:rPr>
      </w:pP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3"/>
        <w:adjustRightInd w:val="0"/>
        <w:snapToGrid w:val="0"/>
        <w:spacing w:before="0" w:after="0" w:line="240" w:lineRule="auto"/>
        <w:jc w:val="left"/>
        <w:rPr>
          <w:rFonts w:hint="eastAsia" w:ascii="仿宋" w:hAnsi="仿宋" w:eastAsia="仿宋" w:cs="仿宋"/>
          <w:color w:val="auto"/>
          <w:szCs w:val="28"/>
          <w:highlight w:val="none"/>
        </w:rPr>
      </w:pPr>
      <w:r>
        <w:rPr>
          <w:rFonts w:hint="eastAsia" w:ascii="仿宋" w:hAnsi="仿宋" w:eastAsia="仿宋" w:cs="仿宋"/>
          <w:color w:val="auto"/>
          <w:szCs w:val="28"/>
          <w:highlight w:val="none"/>
        </w:rPr>
        <w:t>格式1</w:t>
      </w:r>
    </w:p>
    <w:p>
      <w:pPr>
        <w:jc w:val="center"/>
        <w:rPr>
          <w:rFonts w:hint="eastAsia" w:ascii="仿宋" w:hAnsi="仿宋" w:eastAsia="仿宋" w:cs="仿宋"/>
          <w:b/>
          <w:bCs/>
          <w:color w:val="auto"/>
          <w:sz w:val="32"/>
          <w:szCs w:val="32"/>
          <w:highlight w:val="none"/>
        </w:rPr>
      </w:pPr>
      <w:bookmarkStart w:id="84" w:name="_Toc21090_WPSOffice_Level2"/>
      <w:bookmarkStart w:id="85" w:name="_Toc26322_WPSOffice_Level2"/>
      <w:r>
        <w:rPr>
          <w:rFonts w:hint="eastAsia" w:ascii="仿宋" w:hAnsi="仿宋" w:eastAsia="仿宋" w:cs="仿宋"/>
          <w:b/>
          <w:bCs/>
          <w:color w:val="auto"/>
          <w:sz w:val="32"/>
          <w:szCs w:val="32"/>
          <w:highlight w:val="none"/>
        </w:rPr>
        <w:t>投标文件、电子文档外封面、封口格式</w:t>
      </w:r>
      <w:bookmarkEnd w:id="84"/>
      <w:bookmarkEnd w:id="85"/>
    </w:p>
    <w:p>
      <w:pPr>
        <w:rPr>
          <w:rFonts w:hint="eastAsia" w:ascii="仿宋" w:hAnsi="仿宋" w:eastAsia="仿宋" w:cs="仿宋"/>
          <w:color w:val="auto"/>
          <w:highlight w:val="none"/>
        </w:rPr>
      </w:pPr>
      <w:r>
        <w:rPr>
          <w:rFonts w:hint="eastAsia" w:ascii="仿宋" w:hAnsi="仿宋" w:eastAsia="仿宋" w:cs="仿宋"/>
          <w:color w:val="auto"/>
          <w:sz w:val="28"/>
          <w:szCs w:val="28"/>
          <w:highlight w:val="none"/>
        </w:rPr>
        <w:t>封面格式：</w:t>
      </w:r>
    </w:p>
    <w:tbl>
      <w:tblPr>
        <w:tblStyle w:val="14"/>
        <w:tblW w:w="5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90" w:hRule="atLeast"/>
          <w:jc w:val="center"/>
        </w:trPr>
        <w:tc>
          <w:tcPr>
            <w:tcW w:w="5960" w:type="dxa"/>
            <w:noWrap w:val="0"/>
            <w:vAlign w:val="top"/>
          </w:tcPr>
          <w:p>
            <w:pPr>
              <w:jc w:val="center"/>
              <w:rPr>
                <w:rFonts w:hint="eastAsia" w:ascii="仿宋" w:hAnsi="仿宋" w:eastAsia="仿宋" w:cs="仿宋"/>
                <w:b/>
                <w:bCs/>
                <w:color w:val="auto"/>
                <w:highlight w:val="none"/>
              </w:rPr>
            </w:pPr>
          </w:p>
          <w:p>
            <w:pPr>
              <w:jc w:val="center"/>
              <w:rPr>
                <w:rFonts w:hint="eastAsia" w:ascii="仿宋" w:hAnsi="仿宋" w:eastAsia="仿宋" w:cs="仿宋"/>
                <w:b/>
                <w:bCs/>
                <w:color w:val="auto"/>
                <w:highlight w:val="none"/>
              </w:rPr>
            </w:pPr>
          </w:p>
          <w:p>
            <w:pPr>
              <w:jc w:val="center"/>
              <w:rPr>
                <w:rFonts w:hint="eastAsia" w:ascii="仿宋" w:hAnsi="仿宋" w:eastAsia="仿宋" w:cs="仿宋"/>
                <w:b/>
                <w:bCs/>
                <w:color w:val="auto"/>
                <w:highlight w:val="none"/>
              </w:rPr>
            </w:pPr>
          </w:p>
          <w:p>
            <w:pPr>
              <w:jc w:val="center"/>
              <w:rPr>
                <w:rFonts w:hint="eastAsia" w:ascii="仿宋" w:hAnsi="仿宋" w:eastAsia="仿宋" w:cs="仿宋"/>
                <w:b/>
                <w:bCs/>
                <w:color w:val="auto"/>
                <w:highlight w:val="none"/>
              </w:rPr>
            </w:pPr>
          </w:p>
          <w:p>
            <w:pPr>
              <w:jc w:val="center"/>
              <w:rPr>
                <w:rFonts w:hint="eastAsia" w:ascii="仿宋" w:hAnsi="仿宋" w:eastAsia="仿宋" w:cs="仿宋"/>
                <w:b/>
                <w:bCs/>
                <w:color w:val="auto"/>
                <w:highlight w:val="none"/>
              </w:rPr>
            </w:pPr>
          </w:p>
          <w:p>
            <w:pPr>
              <w:jc w:val="center"/>
              <w:rPr>
                <w:rFonts w:hint="eastAsia" w:ascii="仿宋" w:hAnsi="仿宋" w:eastAsia="仿宋" w:cs="仿宋"/>
                <w:b/>
                <w:bCs/>
                <w:color w:val="auto"/>
                <w:highlight w:val="none"/>
              </w:rPr>
            </w:pPr>
            <w:r>
              <w:rPr>
                <w:rFonts w:hint="eastAsia" w:ascii="仿宋" w:hAnsi="仿宋" w:eastAsia="仿宋" w:cs="仿宋"/>
                <w:b/>
                <w:bCs/>
                <w:color w:val="auto"/>
                <w:sz w:val="44"/>
                <w:szCs w:val="52"/>
                <w:highlight w:val="none"/>
              </w:rPr>
              <w:t>投标文件/电子文档</w:t>
            </w:r>
          </w:p>
          <w:p>
            <w:pPr>
              <w:jc w:val="left"/>
              <w:rPr>
                <w:rFonts w:hint="eastAsia" w:ascii="仿宋" w:hAnsi="仿宋" w:eastAsia="仿宋" w:cs="仿宋"/>
                <w:color w:val="auto"/>
                <w:highlight w:val="none"/>
              </w:rPr>
            </w:pPr>
          </w:p>
          <w:p>
            <w:pPr>
              <w:jc w:val="left"/>
              <w:rPr>
                <w:rFonts w:hint="eastAsia" w:ascii="仿宋" w:hAnsi="仿宋" w:eastAsia="仿宋" w:cs="仿宋"/>
                <w:color w:val="auto"/>
                <w:highlight w:val="none"/>
              </w:rPr>
            </w:pPr>
          </w:p>
          <w:p>
            <w:pPr>
              <w:jc w:val="left"/>
              <w:rPr>
                <w:rFonts w:hint="eastAsia" w:ascii="仿宋" w:hAnsi="仿宋" w:eastAsia="仿宋" w:cs="仿宋"/>
                <w:color w:val="auto"/>
                <w:highlight w:val="none"/>
              </w:rPr>
            </w:pPr>
          </w:p>
          <w:p>
            <w:pPr>
              <w:jc w:val="left"/>
              <w:rPr>
                <w:rFonts w:hint="eastAsia" w:ascii="仿宋" w:hAnsi="仿宋" w:eastAsia="仿宋" w:cs="仿宋"/>
                <w:color w:val="auto"/>
                <w:highlight w:val="none"/>
              </w:rPr>
            </w:pPr>
          </w:p>
          <w:p>
            <w:pPr>
              <w:jc w:val="left"/>
              <w:rPr>
                <w:rFonts w:hint="eastAsia" w:ascii="仿宋" w:hAnsi="仿宋" w:eastAsia="仿宋" w:cs="仿宋"/>
                <w:color w:val="auto"/>
                <w:highlight w:val="none"/>
              </w:rPr>
            </w:pPr>
          </w:p>
          <w:p>
            <w:pPr>
              <w:jc w:val="left"/>
              <w:rPr>
                <w:rFonts w:hint="eastAsia" w:ascii="仿宋" w:hAnsi="仿宋" w:eastAsia="仿宋" w:cs="仿宋"/>
                <w:color w:val="auto"/>
                <w:highlight w:val="none"/>
              </w:rPr>
            </w:pPr>
          </w:p>
          <w:p>
            <w:pPr>
              <w:jc w:val="left"/>
              <w:rPr>
                <w:rFonts w:hint="eastAsia" w:ascii="仿宋" w:hAnsi="仿宋" w:eastAsia="仿宋" w:cs="仿宋"/>
                <w:color w:val="auto"/>
                <w:highlight w:val="none"/>
              </w:rPr>
            </w:pPr>
          </w:p>
          <w:p>
            <w:pPr>
              <w:jc w:val="left"/>
              <w:rPr>
                <w:rFonts w:hint="eastAsia" w:ascii="仿宋" w:hAnsi="仿宋" w:eastAsia="仿宋" w:cs="仿宋"/>
                <w:color w:val="auto"/>
                <w:highlight w:val="none"/>
              </w:rPr>
            </w:pPr>
            <w:r>
              <w:rPr>
                <w:rFonts w:hint="eastAsia" w:ascii="仿宋" w:hAnsi="仿宋" w:eastAsia="仿宋" w:cs="仿宋"/>
                <w:color w:val="auto"/>
                <w:highlight w:val="none"/>
              </w:rPr>
              <w:t>所投包号：第  包</w:t>
            </w:r>
          </w:p>
          <w:p>
            <w:pPr>
              <w:jc w:val="left"/>
              <w:rPr>
                <w:rFonts w:hint="eastAsia" w:ascii="仿宋" w:hAnsi="仿宋" w:eastAsia="仿宋" w:cs="仿宋"/>
                <w:color w:val="auto"/>
                <w:highlight w:val="none"/>
              </w:rPr>
            </w:pPr>
          </w:p>
          <w:p>
            <w:pPr>
              <w:jc w:val="left"/>
              <w:rPr>
                <w:rFonts w:hint="eastAsia" w:ascii="仿宋" w:hAnsi="仿宋" w:eastAsia="仿宋" w:cs="仿宋"/>
                <w:color w:val="auto"/>
                <w:highlight w:val="none"/>
              </w:rPr>
            </w:pPr>
            <w:r>
              <w:rPr>
                <w:rFonts w:hint="eastAsia" w:ascii="仿宋" w:hAnsi="仿宋" w:eastAsia="仿宋" w:cs="仿宋"/>
                <w:color w:val="auto"/>
                <w:highlight w:val="none"/>
              </w:rPr>
              <w:t>项目名称：</w:t>
            </w:r>
          </w:p>
          <w:p>
            <w:pPr>
              <w:jc w:val="left"/>
              <w:rPr>
                <w:rFonts w:hint="eastAsia" w:ascii="仿宋" w:hAnsi="仿宋" w:eastAsia="仿宋" w:cs="仿宋"/>
                <w:color w:val="auto"/>
                <w:highlight w:val="none"/>
              </w:rPr>
            </w:pPr>
          </w:p>
          <w:p>
            <w:pPr>
              <w:jc w:val="left"/>
              <w:rPr>
                <w:rFonts w:hint="eastAsia" w:ascii="仿宋" w:hAnsi="仿宋" w:eastAsia="仿宋" w:cs="仿宋"/>
                <w:color w:val="auto"/>
                <w:highlight w:val="none"/>
              </w:rPr>
            </w:pPr>
            <w:r>
              <w:rPr>
                <w:rFonts w:hint="eastAsia" w:ascii="仿宋" w:hAnsi="仿宋" w:eastAsia="仿宋" w:cs="仿宋"/>
                <w:color w:val="auto"/>
                <w:highlight w:val="none"/>
              </w:rPr>
              <w:t>项目编号：</w:t>
            </w:r>
          </w:p>
          <w:p>
            <w:pPr>
              <w:jc w:val="center"/>
              <w:rPr>
                <w:rFonts w:hint="eastAsia" w:ascii="仿宋" w:hAnsi="仿宋" w:eastAsia="仿宋" w:cs="仿宋"/>
                <w:color w:val="auto"/>
                <w:highlight w:val="none"/>
              </w:rPr>
            </w:pPr>
          </w:p>
          <w:p>
            <w:pPr>
              <w:jc w:val="center"/>
              <w:rPr>
                <w:rFonts w:hint="eastAsia" w:ascii="仿宋" w:hAnsi="仿宋" w:eastAsia="仿宋" w:cs="仿宋"/>
                <w:color w:val="auto"/>
                <w:highlight w:val="none"/>
              </w:rPr>
            </w:pPr>
          </w:p>
          <w:p>
            <w:pPr>
              <w:jc w:val="center"/>
              <w:rPr>
                <w:rFonts w:hint="eastAsia" w:ascii="仿宋" w:hAnsi="仿宋" w:eastAsia="仿宋" w:cs="仿宋"/>
                <w:color w:val="auto"/>
                <w:highlight w:val="none"/>
              </w:rPr>
            </w:pPr>
          </w:p>
          <w:p>
            <w:pPr>
              <w:jc w:val="left"/>
              <w:rPr>
                <w:rFonts w:hint="eastAsia" w:ascii="仿宋" w:hAnsi="仿宋" w:eastAsia="仿宋" w:cs="仿宋"/>
                <w:color w:val="auto"/>
                <w:highlight w:val="none"/>
              </w:rPr>
            </w:pPr>
            <w:r>
              <w:rPr>
                <w:rFonts w:hint="eastAsia" w:ascii="仿宋" w:hAnsi="仿宋" w:eastAsia="仿宋" w:cs="仿宋"/>
                <w:color w:val="auto"/>
                <w:highlight w:val="none"/>
              </w:rPr>
              <w:t>投标人名称（加盖单位公章）</w:t>
            </w:r>
          </w:p>
        </w:tc>
      </w:tr>
    </w:tbl>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r>
        <w:rPr>
          <w:rFonts w:hint="eastAsia" w:ascii="仿宋" w:hAnsi="仿宋" w:eastAsia="仿宋" w:cs="仿宋"/>
          <w:color w:val="auto"/>
          <w:sz w:val="24"/>
          <w:szCs w:val="32"/>
          <w:highlight w:val="none"/>
        </w:rPr>
        <w:t>封口格式：</w:t>
      </w:r>
    </w:p>
    <w:tbl>
      <w:tblPr>
        <w:tblStyle w:val="14"/>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1" w:hRule="atLeast"/>
          <w:jc w:val="center"/>
        </w:trPr>
        <w:tc>
          <w:tcPr>
            <w:tcW w:w="8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rPr>
              <w:t>——于   年  月  日   时之前不准启封（公章）——</w:t>
            </w:r>
          </w:p>
        </w:tc>
      </w:tr>
    </w:tbl>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br w:type="page"/>
      </w:r>
    </w:p>
    <w:p>
      <w:pPr>
        <w:pStyle w:val="3"/>
        <w:adjustRightInd w:val="0"/>
        <w:snapToGrid w:val="0"/>
        <w:spacing w:before="0" w:after="0" w:line="240" w:lineRule="auto"/>
        <w:jc w:val="left"/>
        <w:rPr>
          <w:rFonts w:hint="eastAsia" w:ascii="仿宋" w:hAnsi="仿宋" w:eastAsia="仿宋" w:cs="仿宋"/>
          <w:color w:val="auto"/>
          <w:szCs w:val="28"/>
          <w:highlight w:val="none"/>
        </w:rPr>
      </w:pPr>
      <w:r>
        <w:rPr>
          <w:rFonts w:hint="eastAsia" w:ascii="仿宋" w:hAnsi="仿宋" w:eastAsia="仿宋" w:cs="仿宋"/>
          <w:color w:val="auto"/>
          <w:szCs w:val="28"/>
          <w:highlight w:val="none"/>
        </w:rPr>
        <w:t>格式2</w:t>
      </w:r>
    </w:p>
    <w:p>
      <w:pPr>
        <w:jc w:val="center"/>
        <w:rPr>
          <w:rFonts w:hint="eastAsia" w:ascii="仿宋" w:hAnsi="仿宋" w:eastAsia="仿宋" w:cs="仿宋"/>
          <w:b/>
          <w:bCs/>
          <w:color w:val="auto"/>
          <w:sz w:val="32"/>
          <w:szCs w:val="32"/>
          <w:highlight w:val="none"/>
        </w:rPr>
      </w:pPr>
      <w:r>
        <w:rPr>
          <w:rFonts w:hint="eastAsia" w:ascii="仿宋" w:hAnsi="仿宋" w:eastAsia="仿宋" w:cs="仿宋"/>
          <w:color w:val="auto"/>
          <w:sz w:val="32"/>
          <w:highlight w:val="none"/>
        </w:rPr>
        <mc:AlternateContent>
          <mc:Choice Requires="wps">
            <w:drawing>
              <wp:anchor distT="0" distB="0" distL="114300" distR="114300" simplePos="0" relativeHeight="251659264" behindDoc="0" locked="0" layoutInCell="1" allowOverlap="1">
                <wp:simplePos x="0" y="0"/>
                <wp:positionH relativeFrom="column">
                  <wp:posOffset>3878580</wp:posOffset>
                </wp:positionH>
                <wp:positionV relativeFrom="paragraph">
                  <wp:posOffset>361315</wp:posOffset>
                </wp:positionV>
                <wp:extent cx="1253490" cy="563245"/>
                <wp:effectExtent l="5080" t="4445" r="17780" b="22860"/>
                <wp:wrapNone/>
                <wp:docPr id="2" name="文本框 2"/>
                <wp:cNvGraphicFramePr/>
                <a:graphic xmlns:a="http://schemas.openxmlformats.org/drawingml/2006/main">
                  <a:graphicData uri="http://schemas.microsoft.com/office/word/2010/wordprocessingShape">
                    <wps:wsp>
                      <wps:cNvSpPr txBox="1"/>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wps:txbx>
                      <wps:bodyPr wrap="square" upright="1"/>
                    </wps:wsp>
                  </a:graphicData>
                </a:graphic>
              </wp:anchor>
            </w:drawing>
          </mc:Choice>
          <mc:Fallback>
            <w:pict>
              <v:shape id="_x0000_s1026" o:spid="_x0000_s1026" o:spt="202" type="#_x0000_t202" style="position:absolute;left:0pt;margin-left:305.4pt;margin-top:28.45pt;height:44.35pt;width:98.7pt;z-index:251659264;mso-width-relative:page;mso-height-relative:page;" fillcolor="#FFFFFF" filled="t" stroked="t" coordsize="21600,21600" o:gfxdata="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1XXs+2QAAAAoB&#10;AAAPAAAAAAAAAAEAIAAAACIAAABkcnMvZG93bnJldi54bWxQSwECFAAUAAAACACHTuJAIeVfCRoC&#10;AABSBAAADgAAAAAAAAABACAAAAAoAQAAZHJzL2Uyb0RvYy54bWxQSwUGAAAAAAYABgBZAQAAtAUA&#10;AAAA&#10;">
                <v:fill on="t" focussize="0,0"/>
                <v:stroke color="#000000" joinstyle="miter"/>
                <v:imagedata o:title=""/>
                <o:lock v:ext="edit" aspectratio="f"/>
                <v:textbo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v:textbox>
              </v:shape>
            </w:pict>
          </mc:Fallback>
        </mc:AlternateContent>
      </w:r>
      <w:r>
        <w:rPr>
          <w:rFonts w:hint="eastAsia" w:ascii="仿宋" w:hAnsi="仿宋" w:eastAsia="仿宋" w:cs="仿宋"/>
          <w:b/>
          <w:bCs/>
          <w:color w:val="auto"/>
          <w:sz w:val="32"/>
          <w:szCs w:val="32"/>
          <w:highlight w:val="none"/>
        </w:rPr>
        <w:t>投标文件的封皮</w:t>
      </w: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jc w:val="center"/>
        <w:rPr>
          <w:rFonts w:hint="eastAsia" w:ascii="仿宋" w:hAnsi="仿宋" w:eastAsia="仿宋" w:cs="仿宋"/>
          <w:b/>
          <w:bCs/>
          <w:color w:val="auto"/>
          <w:sz w:val="52"/>
          <w:szCs w:val="52"/>
          <w:highlight w:val="none"/>
        </w:rPr>
      </w:pPr>
      <w:r>
        <w:rPr>
          <w:rFonts w:hint="eastAsia" w:ascii="仿宋" w:hAnsi="仿宋" w:eastAsia="仿宋" w:cs="仿宋"/>
          <w:b/>
          <w:bCs/>
          <w:color w:val="auto"/>
          <w:sz w:val="52"/>
          <w:szCs w:val="52"/>
          <w:highlight w:val="none"/>
        </w:rPr>
        <w:t>投  标  文  件</w:t>
      </w: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所投包号：第  包</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项目名称：</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项目编号：</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投标人名称 ：</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p>
    <w:p>
      <w:pPr>
        <w:pStyle w:val="3"/>
        <w:adjustRightInd w:val="0"/>
        <w:snapToGrid w:val="0"/>
        <w:spacing w:before="0" w:after="0" w:line="240" w:lineRule="auto"/>
        <w:jc w:val="left"/>
        <w:rPr>
          <w:rFonts w:hint="eastAsia" w:ascii="仿宋" w:hAnsi="仿宋" w:eastAsia="仿宋" w:cs="仿宋"/>
          <w:color w:val="auto"/>
          <w:szCs w:val="28"/>
          <w:highlight w:val="none"/>
        </w:rPr>
      </w:pPr>
      <w:r>
        <w:rPr>
          <w:rFonts w:hint="eastAsia" w:ascii="仿宋" w:hAnsi="仿宋" w:eastAsia="仿宋" w:cs="仿宋"/>
          <w:color w:val="auto"/>
          <w:szCs w:val="28"/>
          <w:highlight w:val="none"/>
        </w:rPr>
        <w:t>格式3</w:t>
      </w:r>
    </w:p>
    <w:p>
      <w:pPr>
        <w:spacing w:before="319" w:beforeLines="100" w:after="319" w:afterLines="100" w:line="360" w:lineRule="auto"/>
        <w:ind w:right="-21" w:rightChars="-10"/>
        <w:jc w:val="center"/>
        <w:rPr>
          <w:rFonts w:hint="eastAsia" w:ascii="仿宋" w:hAnsi="仿宋" w:eastAsia="仿宋" w:cs="仿宋"/>
          <w:b/>
          <w:color w:val="auto"/>
          <w:sz w:val="32"/>
          <w:szCs w:val="32"/>
          <w:highlight w:val="none"/>
        </w:rPr>
      </w:pPr>
      <w:bookmarkStart w:id="86" w:name="_Toc21414_WPSOffice_Level2"/>
      <w:bookmarkStart w:id="87" w:name="_Toc2304_WPSOffice_Level2"/>
      <w:r>
        <w:rPr>
          <w:rFonts w:hint="eastAsia" w:ascii="仿宋" w:hAnsi="仿宋" w:eastAsia="仿宋" w:cs="仿宋"/>
          <w:b/>
          <w:color w:val="auto"/>
          <w:sz w:val="32"/>
          <w:szCs w:val="32"/>
          <w:highlight w:val="none"/>
        </w:rPr>
        <w:t>目  录</w:t>
      </w:r>
      <w:bookmarkEnd w:id="86"/>
      <w:bookmarkEnd w:id="87"/>
    </w:p>
    <w:p>
      <w:pPr>
        <w:rPr>
          <w:rFonts w:hint="eastAsia" w:ascii="仿宋" w:hAnsi="仿宋" w:eastAsia="仿宋" w:cs="仿宋"/>
          <w:color w:val="auto"/>
          <w:highlight w:val="none"/>
        </w:rPr>
      </w:pPr>
      <w:bookmarkStart w:id="88" w:name="_Toc30940_WPSOffice_Level2"/>
      <w:bookmarkStart w:id="89" w:name="_Toc7636_WPSOffice_Level2"/>
      <w:r>
        <w:rPr>
          <w:rFonts w:hint="eastAsia" w:ascii="仿宋" w:hAnsi="仿宋" w:eastAsia="仿宋" w:cs="仿宋"/>
          <w:color w:val="auto"/>
          <w:highlight w:val="none"/>
        </w:rPr>
        <w:t>一、资格证明材料</w:t>
      </w:r>
      <w:bookmarkEnd w:id="88"/>
      <w:bookmarkEnd w:id="89"/>
    </w:p>
    <w:p>
      <w:pPr>
        <w:rPr>
          <w:rFonts w:hint="eastAsia" w:ascii="仿宋" w:hAnsi="仿宋" w:eastAsia="仿宋" w:cs="仿宋"/>
          <w:color w:val="auto"/>
          <w:highlight w:val="none"/>
        </w:rPr>
      </w:pPr>
      <w:r>
        <w:rPr>
          <w:rFonts w:hint="eastAsia" w:ascii="仿宋" w:hAnsi="仿宋" w:eastAsia="仿宋" w:cs="仿宋"/>
          <w:color w:val="auto"/>
          <w:highlight w:val="none"/>
        </w:rPr>
        <w:t>……</w:t>
      </w:r>
    </w:p>
    <w:p>
      <w:pPr>
        <w:rPr>
          <w:rFonts w:hint="eastAsia" w:ascii="仿宋" w:hAnsi="仿宋" w:eastAsia="仿宋" w:cs="仿宋"/>
          <w:color w:val="auto"/>
          <w:highlight w:val="none"/>
        </w:rPr>
      </w:pPr>
      <w:bookmarkStart w:id="90" w:name="_Toc31702_WPSOffice_Level2"/>
      <w:bookmarkStart w:id="91" w:name="_Toc13950_WPSOffice_Level2"/>
      <w:r>
        <w:rPr>
          <w:rFonts w:hint="eastAsia" w:ascii="仿宋" w:hAnsi="仿宋" w:eastAsia="仿宋" w:cs="仿宋"/>
          <w:color w:val="auto"/>
          <w:highlight w:val="none"/>
        </w:rPr>
        <w:t>二、符合性证明材料</w:t>
      </w:r>
      <w:bookmarkEnd w:id="90"/>
      <w:bookmarkEnd w:id="91"/>
    </w:p>
    <w:p>
      <w:pPr>
        <w:rPr>
          <w:rFonts w:hint="eastAsia" w:ascii="仿宋" w:hAnsi="仿宋" w:eastAsia="仿宋" w:cs="仿宋"/>
          <w:color w:val="auto"/>
          <w:highlight w:val="none"/>
        </w:rPr>
      </w:pPr>
      <w:r>
        <w:rPr>
          <w:rFonts w:hint="eastAsia" w:ascii="仿宋" w:hAnsi="仿宋" w:eastAsia="仿宋" w:cs="仿宋"/>
          <w:color w:val="auto"/>
          <w:highlight w:val="none"/>
        </w:rPr>
        <w:t>……</w:t>
      </w:r>
    </w:p>
    <w:p>
      <w:pPr>
        <w:rPr>
          <w:rFonts w:hint="eastAsia" w:ascii="仿宋" w:hAnsi="仿宋" w:eastAsia="仿宋" w:cs="仿宋"/>
          <w:color w:val="auto"/>
          <w:highlight w:val="none"/>
        </w:rPr>
      </w:pPr>
      <w:bookmarkStart w:id="92" w:name="_Toc9090_WPSOffice_Level2"/>
      <w:bookmarkStart w:id="93" w:name="_Toc14854_WPSOffice_Level2"/>
      <w:r>
        <w:rPr>
          <w:rFonts w:hint="eastAsia" w:ascii="仿宋" w:hAnsi="仿宋" w:eastAsia="仿宋" w:cs="仿宋"/>
          <w:color w:val="auto"/>
          <w:highlight w:val="none"/>
        </w:rPr>
        <w:t>三、其它材料</w:t>
      </w:r>
      <w:bookmarkEnd w:id="92"/>
      <w:bookmarkEnd w:id="93"/>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w:t>
      </w: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adjustRightInd w:val="0"/>
        <w:snapToGrid w:val="0"/>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我单位的投标文件由资格证明材料、符合性证明材料和其它材料三部分组成，在此加盖单位公章并由法定代表人（或非法人组织负责人）或其授权委托人签字，保证投标文件中所有材料真实、有效。</w:t>
      </w:r>
    </w:p>
    <w:p>
      <w:pPr>
        <w:spacing w:line="360" w:lineRule="auto"/>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spacing w:line="480" w:lineRule="auto"/>
        <w:rPr>
          <w:rFonts w:hint="eastAsia" w:ascii="仿宋" w:hAnsi="仿宋" w:eastAsia="仿宋" w:cs="仿宋"/>
          <w:color w:val="auto"/>
          <w:highlight w:val="none"/>
        </w:rPr>
      </w:pPr>
      <w:r>
        <w:rPr>
          <w:rFonts w:hint="eastAsia" w:ascii="仿宋" w:hAnsi="仿宋" w:eastAsia="仿宋" w:cs="仿宋"/>
          <w:color w:val="auto"/>
          <w:highlight w:val="none"/>
        </w:rPr>
        <w:t>投标人名称（加盖单位公章）：</w:t>
      </w:r>
      <w:r>
        <w:rPr>
          <w:rFonts w:hint="eastAsia" w:ascii="仿宋" w:hAnsi="仿宋" w:eastAsia="仿宋" w:cs="仿宋"/>
          <w:color w:val="auto"/>
          <w:highlight w:val="none"/>
          <w:u w:val="single"/>
        </w:rPr>
        <w:t xml:space="preserve">           </w:t>
      </w:r>
    </w:p>
    <w:p>
      <w:pPr>
        <w:spacing w:line="480" w:lineRule="auto"/>
        <w:rPr>
          <w:rFonts w:hint="eastAsia" w:ascii="仿宋" w:hAnsi="仿宋" w:eastAsia="仿宋" w:cs="仿宋"/>
          <w:color w:val="auto"/>
          <w:highlight w:val="none"/>
        </w:rPr>
      </w:pPr>
      <w:r>
        <w:rPr>
          <w:rFonts w:hint="eastAsia" w:ascii="仿宋" w:hAnsi="仿宋" w:eastAsia="仿宋" w:cs="仿宋"/>
          <w:color w:val="auto"/>
          <w:highlight w:val="none"/>
        </w:rPr>
        <w:t>法定代表人（或</w:t>
      </w:r>
      <w:r>
        <w:rPr>
          <w:rFonts w:hint="eastAsia" w:ascii="仿宋" w:hAnsi="仿宋" w:eastAsia="仿宋" w:cs="仿宋"/>
          <w:color w:val="auto"/>
          <w:szCs w:val="21"/>
          <w:highlight w:val="none"/>
        </w:rPr>
        <w:t>非法人组织负责人）或</w:t>
      </w:r>
      <w:r>
        <w:rPr>
          <w:rFonts w:hint="eastAsia" w:ascii="仿宋" w:hAnsi="仿宋" w:eastAsia="仿宋" w:cs="仿宋"/>
          <w:color w:val="auto"/>
          <w:highlight w:val="none"/>
        </w:rPr>
        <w:t>其授权委托人(签字或盖章)：</w:t>
      </w:r>
      <w:r>
        <w:rPr>
          <w:rFonts w:hint="eastAsia" w:ascii="仿宋" w:hAnsi="仿宋" w:eastAsia="仿宋" w:cs="仿宋"/>
          <w:color w:val="auto"/>
          <w:highlight w:val="none"/>
          <w:u w:val="single"/>
        </w:rPr>
        <w:t xml:space="preserve">           </w:t>
      </w:r>
    </w:p>
    <w:p>
      <w:pPr>
        <w:spacing w:line="480" w:lineRule="auto"/>
        <w:rPr>
          <w:rFonts w:hint="eastAsia" w:ascii="仿宋" w:hAnsi="仿宋" w:eastAsia="仿宋" w:cs="仿宋"/>
          <w:color w:val="auto"/>
          <w:highlight w:val="none"/>
        </w:rPr>
      </w:pPr>
      <w:r>
        <w:rPr>
          <w:rFonts w:hint="eastAsia" w:ascii="仿宋" w:hAnsi="仿宋" w:eastAsia="仿宋" w:cs="仿宋"/>
          <w:color w:val="auto"/>
          <w:highlight w:val="none"/>
        </w:rPr>
        <w:t>日期：</w:t>
      </w:r>
      <w:r>
        <w:rPr>
          <w:rFonts w:hint="eastAsia" w:ascii="仿宋" w:hAnsi="仿宋" w:eastAsia="仿宋" w:cs="仿宋"/>
          <w:color w:val="auto"/>
          <w:highlight w:val="none"/>
          <w:u w:val="single"/>
        </w:rPr>
        <w:t xml:space="preserve">                </w:t>
      </w:r>
    </w:p>
    <w:p>
      <w:pPr>
        <w:pStyle w:val="3"/>
        <w:adjustRightInd w:val="0"/>
        <w:snapToGrid w:val="0"/>
        <w:spacing w:before="0" w:after="0" w:line="240" w:lineRule="auto"/>
        <w:jc w:val="left"/>
        <w:rPr>
          <w:rFonts w:hint="eastAsia" w:ascii="仿宋" w:hAnsi="仿宋" w:eastAsia="仿宋" w:cs="仿宋"/>
          <w:color w:val="auto"/>
          <w:szCs w:val="28"/>
          <w:highlight w:val="none"/>
        </w:rPr>
      </w:pPr>
      <w:r>
        <w:rPr>
          <w:rFonts w:hint="eastAsia" w:ascii="仿宋" w:hAnsi="仿宋" w:eastAsia="仿宋" w:cs="仿宋"/>
          <w:color w:val="auto"/>
          <w:highlight w:val="none"/>
        </w:rPr>
        <w:br w:type="page"/>
      </w:r>
      <w:r>
        <w:rPr>
          <w:rFonts w:hint="eastAsia" w:ascii="仿宋" w:hAnsi="仿宋" w:eastAsia="仿宋" w:cs="仿宋"/>
          <w:color w:val="auto"/>
          <w:szCs w:val="28"/>
          <w:highlight w:val="none"/>
        </w:rPr>
        <w:t>格式4</w:t>
      </w:r>
    </w:p>
    <w:p>
      <w:pPr>
        <w:spacing w:before="319" w:beforeLines="100" w:after="319" w:afterLines="100" w:line="360" w:lineRule="auto"/>
        <w:ind w:right="-21" w:rightChars="-10"/>
        <w:jc w:val="center"/>
        <w:rPr>
          <w:rFonts w:hint="eastAsia" w:ascii="仿宋" w:hAnsi="仿宋" w:eastAsia="仿宋" w:cs="仿宋"/>
          <w:b/>
          <w:color w:val="auto"/>
          <w:sz w:val="32"/>
          <w:szCs w:val="32"/>
          <w:highlight w:val="none"/>
        </w:rPr>
      </w:pPr>
      <w:bookmarkStart w:id="94" w:name="_Toc3401_WPSOffice_Level2"/>
      <w:bookmarkStart w:id="95" w:name="_Toc16924_WPSOffice_Level2"/>
      <w:r>
        <w:rPr>
          <w:rFonts w:hint="eastAsia" w:ascii="仿宋" w:hAnsi="仿宋" w:eastAsia="仿宋" w:cs="仿宋"/>
          <w:b/>
          <w:color w:val="auto"/>
          <w:sz w:val="32"/>
          <w:szCs w:val="32"/>
          <w:highlight w:val="none"/>
        </w:rPr>
        <w:t>法定代表人（或非法人组织负责人）身份证明书</w:t>
      </w:r>
      <w:bookmarkEnd w:id="94"/>
      <w:bookmarkEnd w:id="95"/>
    </w:p>
    <w:p>
      <w:pPr>
        <w:spacing w:line="360" w:lineRule="auto"/>
        <w:ind w:firstLine="840" w:firstLineChars="4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姓名：</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，性别：</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，出生日期：</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，现任职务：</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，系</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（投标人名称）的法定代表人（或非法人组织负责人）。</w:t>
      </w: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特此证明。</w:t>
      </w: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tbl>
      <w:tblPr>
        <w:tblStyle w:val="14"/>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0" w:hRule="atLeast"/>
          <w:jc w:val="center"/>
        </w:trPr>
        <w:tc>
          <w:tcPr>
            <w:tcW w:w="8228" w:type="dxa"/>
            <w:noWrap w:val="0"/>
            <w:vAlign w:val="top"/>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（※法定代表人（或非法人组织负责人）身份证正、反面复印件※）</w:t>
            </w:r>
          </w:p>
        </w:tc>
      </w:tr>
    </w:tbl>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spacing w:line="480" w:lineRule="auto"/>
        <w:rPr>
          <w:rFonts w:hint="eastAsia" w:ascii="仿宋" w:hAnsi="仿宋" w:eastAsia="仿宋" w:cs="仿宋"/>
          <w:color w:val="auto"/>
          <w:highlight w:val="none"/>
          <w:u w:val="single"/>
        </w:rPr>
      </w:pPr>
      <w:r>
        <w:rPr>
          <w:rFonts w:hint="eastAsia" w:ascii="仿宋" w:hAnsi="仿宋" w:eastAsia="仿宋" w:cs="仿宋"/>
          <w:color w:val="auto"/>
          <w:highlight w:val="none"/>
        </w:rPr>
        <w:t>投标人名称（加盖单位公章）：</w:t>
      </w:r>
      <w:r>
        <w:rPr>
          <w:rFonts w:hint="eastAsia" w:ascii="仿宋" w:hAnsi="仿宋" w:eastAsia="仿宋" w:cs="仿宋"/>
          <w:color w:val="auto"/>
          <w:highlight w:val="none"/>
          <w:u w:val="single"/>
        </w:rPr>
        <w:t xml:space="preserve">           </w:t>
      </w:r>
    </w:p>
    <w:p>
      <w:pPr>
        <w:spacing w:line="480" w:lineRule="auto"/>
        <w:rPr>
          <w:rFonts w:hint="eastAsia" w:ascii="仿宋" w:hAnsi="仿宋" w:eastAsia="仿宋" w:cs="仿宋"/>
          <w:color w:val="auto"/>
          <w:highlight w:val="none"/>
        </w:rPr>
      </w:pPr>
      <w:r>
        <w:rPr>
          <w:rFonts w:hint="eastAsia" w:ascii="仿宋" w:hAnsi="仿宋" w:eastAsia="仿宋" w:cs="仿宋"/>
          <w:color w:val="auto"/>
          <w:highlight w:val="none"/>
        </w:rPr>
        <w:t>日期：</w:t>
      </w:r>
      <w:r>
        <w:rPr>
          <w:rFonts w:hint="eastAsia" w:ascii="仿宋" w:hAnsi="仿宋" w:eastAsia="仿宋" w:cs="仿宋"/>
          <w:color w:val="auto"/>
          <w:highlight w:val="none"/>
          <w:u w:val="single"/>
        </w:rPr>
        <w:t xml:space="preserve">                </w:t>
      </w:r>
    </w:p>
    <w:p>
      <w:pPr>
        <w:rPr>
          <w:rFonts w:hint="eastAsia" w:ascii="仿宋" w:hAnsi="仿宋" w:eastAsia="仿宋" w:cs="仿宋"/>
          <w:color w:val="auto"/>
          <w:highlight w:val="none"/>
        </w:rPr>
      </w:pP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br w:type="page"/>
      </w:r>
    </w:p>
    <w:p>
      <w:pPr>
        <w:pStyle w:val="3"/>
        <w:adjustRightInd w:val="0"/>
        <w:snapToGrid w:val="0"/>
        <w:spacing w:before="0" w:after="0" w:line="240" w:lineRule="auto"/>
        <w:jc w:val="left"/>
        <w:rPr>
          <w:rFonts w:hint="eastAsia" w:ascii="仿宋" w:hAnsi="仿宋" w:eastAsia="仿宋" w:cs="仿宋"/>
          <w:b w:val="0"/>
          <w:bCs/>
          <w:color w:val="auto"/>
          <w:sz w:val="32"/>
          <w:szCs w:val="32"/>
          <w:highlight w:val="none"/>
        </w:rPr>
      </w:pPr>
      <w:r>
        <w:rPr>
          <w:rFonts w:hint="eastAsia" w:ascii="仿宋" w:hAnsi="仿宋" w:eastAsia="仿宋" w:cs="仿宋"/>
          <w:color w:val="auto"/>
          <w:szCs w:val="28"/>
          <w:highlight w:val="none"/>
        </w:rPr>
        <w:t>格式5</w:t>
      </w:r>
      <w:bookmarkStart w:id="96" w:name="_Toc122_WPSOffice_Level2"/>
      <w:bookmarkStart w:id="97" w:name="_Toc21833_WPSOffice_Level2"/>
    </w:p>
    <w:p>
      <w:pPr>
        <w:spacing w:before="319" w:beforeLines="100" w:after="319" w:afterLines="100" w:line="360" w:lineRule="auto"/>
        <w:ind w:right="-21" w:rightChars="-10"/>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法定代表人（或非法人组织负责人）授权委托书</w:t>
      </w:r>
      <w:bookmarkEnd w:id="96"/>
      <w:bookmarkEnd w:id="97"/>
    </w:p>
    <w:p>
      <w:pPr>
        <w:spacing w:line="360" w:lineRule="auto"/>
        <w:ind w:firstLine="420" w:firstLineChars="2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单位名称：</w:t>
      </w:r>
      <w:r>
        <w:rPr>
          <w:rFonts w:hint="eastAsia" w:ascii="仿宋" w:hAnsi="仿宋" w:eastAsia="仿宋" w:cs="仿宋"/>
          <w:color w:val="auto"/>
          <w:szCs w:val="21"/>
          <w:highlight w:val="none"/>
          <w:u w:val="single"/>
        </w:rPr>
        <w:t xml:space="preserve">                </w:t>
      </w:r>
    </w:p>
    <w:p>
      <w:pPr>
        <w:spacing w:line="360" w:lineRule="auto"/>
        <w:ind w:firstLine="420" w:firstLineChars="2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法定代表人（或非法人组织负责人）姓名：</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身份证号码：</w:t>
      </w:r>
      <w:r>
        <w:rPr>
          <w:rFonts w:hint="eastAsia" w:ascii="仿宋" w:hAnsi="仿宋" w:eastAsia="仿宋" w:cs="仿宋"/>
          <w:color w:val="auto"/>
          <w:szCs w:val="21"/>
          <w:highlight w:val="none"/>
          <w:u w:val="single"/>
        </w:rPr>
        <w:t xml:space="preserve">         </w:t>
      </w:r>
    </w:p>
    <w:p>
      <w:pPr>
        <w:tabs>
          <w:tab w:val="left" w:pos="5205"/>
        </w:tabs>
        <w:spacing w:line="360" w:lineRule="auto"/>
        <w:ind w:firstLine="420" w:firstLineChars="2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住所地：</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u w:val="single"/>
        </w:rPr>
        <w:tab/>
      </w:r>
    </w:p>
    <w:p>
      <w:pPr>
        <w:spacing w:line="360" w:lineRule="auto"/>
        <w:ind w:firstLine="420" w:firstLineChars="2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授权</w:t>
      </w:r>
      <w:r>
        <w:rPr>
          <w:rFonts w:hint="eastAsia" w:ascii="仿宋" w:hAnsi="仿宋" w:eastAsia="仿宋" w:cs="仿宋"/>
          <w:color w:val="auto"/>
          <w:highlight w:val="none"/>
        </w:rPr>
        <w:t>委托</w:t>
      </w:r>
      <w:r>
        <w:rPr>
          <w:rFonts w:hint="eastAsia" w:ascii="仿宋" w:hAnsi="仿宋" w:eastAsia="仿宋" w:cs="仿宋"/>
          <w:color w:val="auto"/>
          <w:szCs w:val="21"/>
          <w:highlight w:val="none"/>
        </w:rPr>
        <w:t>人姓名：</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身份证号码：</w:t>
      </w:r>
      <w:r>
        <w:rPr>
          <w:rFonts w:hint="eastAsia" w:ascii="仿宋" w:hAnsi="仿宋" w:eastAsia="仿宋" w:cs="仿宋"/>
          <w:color w:val="auto"/>
          <w:szCs w:val="21"/>
          <w:highlight w:val="none"/>
          <w:u w:val="single"/>
        </w:rPr>
        <w:t xml:space="preserve">         </w:t>
      </w:r>
    </w:p>
    <w:p>
      <w:pPr>
        <w:spacing w:line="360" w:lineRule="auto"/>
        <w:ind w:firstLine="420" w:firstLineChars="2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工作单位：</w:t>
      </w:r>
      <w:r>
        <w:rPr>
          <w:rFonts w:hint="eastAsia" w:ascii="仿宋" w:hAnsi="仿宋" w:eastAsia="仿宋" w:cs="仿宋"/>
          <w:color w:val="auto"/>
          <w:szCs w:val="21"/>
          <w:highlight w:val="none"/>
          <w:u w:val="single"/>
        </w:rPr>
        <w:t xml:space="preserve">                  </w:t>
      </w:r>
    </w:p>
    <w:p>
      <w:pPr>
        <w:spacing w:line="360" w:lineRule="auto"/>
        <w:ind w:firstLine="420" w:firstLineChars="2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住址：</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电话：</w:t>
      </w:r>
      <w:r>
        <w:rPr>
          <w:rFonts w:hint="eastAsia" w:ascii="仿宋" w:hAnsi="仿宋" w:eastAsia="仿宋" w:cs="仿宋"/>
          <w:color w:val="auto"/>
          <w:szCs w:val="21"/>
          <w:highlight w:val="none"/>
          <w:u w:val="single"/>
        </w:rPr>
        <w:t xml:space="preserve">               </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现委托</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就</w:t>
      </w:r>
      <w:r>
        <w:rPr>
          <w:rFonts w:hint="eastAsia" w:ascii="仿宋" w:hAnsi="仿宋" w:eastAsia="仿宋" w:cs="仿宋"/>
          <w:color w:val="auto"/>
          <w:szCs w:val="21"/>
          <w:highlight w:val="none"/>
          <w:u w:val="single"/>
        </w:rPr>
        <w:t>（项目编号、项目名称、包号）</w:t>
      </w:r>
      <w:r>
        <w:rPr>
          <w:rFonts w:hint="eastAsia" w:ascii="仿宋" w:hAnsi="仿宋" w:eastAsia="仿宋" w:cs="仿宋"/>
          <w:color w:val="auto"/>
          <w:szCs w:val="21"/>
          <w:highlight w:val="none"/>
        </w:rPr>
        <w:t>投标中，以我单位名义处理一切与之有关的事务。</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本授权书于</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年</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月</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日签字或盖章生效，无转委托，特此声明。</w:t>
      </w:r>
    </w:p>
    <w:p>
      <w:pPr>
        <w:spacing w:line="360" w:lineRule="auto"/>
        <w:rPr>
          <w:rFonts w:hint="eastAsia" w:ascii="仿宋" w:hAnsi="仿宋" w:eastAsia="仿宋" w:cs="仿宋"/>
          <w:color w:val="auto"/>
          <w:szCs w:val="21"/>
          <w:highlight w:val="none"/>
        </w:rPr>
      </w:pPr>
    </w:p>
    <w:tbl>
      <w:tblPr>
        <w:tblStyle w:val="14"/>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noWrap w:val="0"/>
            <w:vAlign w:val="top"/>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（※授权</w:t>
            </w:r>
            <w:r>
              <w:rPr>
                <w:rFonts w:hint="eastAsia" w:ascii="仿宋" w:hAnsi="仿宋" w:eastAsia="仿宋" w:cs="仿宋"/>
                <w:color w:val="auto"/>
                <w:highlight w:val="none"/>
              </w:rPr>
              <w:t>委托</w:t>
            </w:r>
            <w:r>
              <w:rPr>
                <w:rFonts w:hint="eastAsia" w:ascii="仿宋" w:hAnsi="仿宋" w:eastAsia="仿宋" w:cs="仿宋"/>
                <w:color w:val="auto"/>
                <w:szCs w:val="21"/>
                <w:highlight w:val="none"/>
              </w:rPr>
              <w:t>人身份证正、反面复印件※）</w:t>
            </w:r>
          </w:p>
        </w:tc>
      </w:tr>
    </w:tbl>
    <w:p>
      <w:pPr>
        <w:spacing w:line="360" w:lineRule="auto"/>
        <w:rPr>
          <w:rFonts w:hint="eastAsia" w:ascii="仿宋" w:hAnsi="仿宋" w:eastAsia="仿宋" w:cs="仿宋"/>
          <w:color w:val="auto"/>
          <w:szCs w:val="21"/>
          <w:highlight w:val="none"/>
        </w:rPr>
      </w:pPr>
    </w:p>
    <w:p>
      <w:pPr>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委托人（加盖单位公章）：</w:t>
      </w:r>
      <w:r>
        <w:rPr>
          <w:rFonts w:hint="eastAsia" w:ascii="仿宋" w:hAnsi="仿宋" w:eastAsia="仿宋" w:cs="仿宋"/>
          <w:color w:val="auto"/>
          <w:szCs w:val="21"/>
          <w:highlight w:val="none"/>
          <w:u w:val="single"/>
        </w:rPr>
        <w:t xml:space="preserve">              </w:t>
      </w:r>
    </w:p>
    <w:p>
      <w:pPr>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法定代表人（或非法人组织负责人）（签字或盖章）：</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w:t>
      </w:r>
    </w:p>
    <w:p>
      <w:pPr>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授权</w:t>
      </w:r>
      <w:r>
        <w:rPr>
          <w:rFonts w:hint="eastAsia" w:ascii="仿宋" w:hAnsi="仿宋" w:eastAsia="仿宋" w:cs="仿宋"/>
          <w:color w:val="auto"/>
          <w:highlight w:val="none"/>
        </w:rPr>
        <w:t>委托</w:t>
      </w:r>
      <w:r>
        <w:rPr>
          <w:rFonts w:hint="eastAsia" w:ascii="仿宋" w:hAnsi="仿宋" w:eastAsia="仿宋" w:cs="仿宋"/>
          <w:color w:val="auto"/>
          <w:szCs w:val="21"/>
          <w:highlight w:val="none"/>
        </w:rPr>
        <w:t>人（签字或盖章）：</w:t>
      </w:r>
      <w:r>
        <w:rPr>
          <w:rFonts w:hint="eastAsia" w:ascii="仿宋" w:hAnsi="仿宋" w:eastAsia="仿宋" w:cs="仿宋"/>
          <w:color w:val="auto"/>
          <w:szCs w:val="21"/>
          <w:highlight w:val="none"/>
          <w:u w:val="single"/>
        </w:rPr>
        <w:t xml:space="preserve">              </w:t>
      </w:r>
    </w:p>
    <w:p>
      <w:pPr>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详细通讯地址：</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邮政编码 ：</w:t>
      </w:r>
      <w:r>
        <w:rPr>
          <w:rFonts w:hint="eastAsia" w:ascii="仿宋" w:hAnsi="仿宋" w:eastAsia="仿宋" w:cs="仿宋"/>
          <w:color w:val="auto"/>
          <w:szCs w:val="21"/>
          <w:highlight w:val="none"/>
          <w:u w:val="single"/>
        </w:rPr>
        <w:t xml:space="preserve">              </w:t>
      </w:r>
    </w:p>
    <w:p>
      <w:pPr>
        <w:spacing w:line="360" w:lineRule="auto"/>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传        真：</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电     话：</w:t>
      </w:r>
      <w:r>
        <w:rPr>
          <w:rFonts w:hint="eastAsia" w:ascii="仿宋" w:hAnsi="仿宋" w:eastAsia="仿宋" w:cs="仿宋"/>
          <w:color w:val="auto"/>
          <w:szCs w:val="21"/>
          <w:highlight w:val="none"/>
          <w:u w:val="single"/>
        </w:rPr>
        <w:t xml:space="preserve">              </w:t>
      </w:r>
    </w:p>
    <w:p>
      <w:pPr>
        <w:spacing w:line="360" w:lineRule="auto"/>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日        期:</w:t>
      </w:r>
      <w:r>
        <w:rPr>
          <w:rFonts w:hint="eastAsia" w:ascii="仿宋" w:hAnsi="仿宋" w:eastAsia="仿宋" w:cs="仿宋"/>
          <w:color w:val="auto"/>
          <w:szCs w:val="21"/>
          <w:highlight w:val="none"/>
          <w:u w:val="single"/>
        </w:rPr>
        <w:t xml:space="preserve">                       </w:t>
      </w:r>
    </w:p>
    <w:p>
      <w:pPr>
        <w:rPr>
          <w:rFonts w:hint="eastAsia" w:ascii="仿宋" w:hAnsi="仿宋" w:eastAsia="仿宋" w:cs="仿宋"/>
          <w:color w:val="auto"/>
          <w:szCs w:val="28"/>
          <w:highlight w:val="none"/>
        </w:rPr>
      </w:pPr>
      <w:r>
        <w:rPr>
          <w:rFonts w:hint="eastAsia" w:ascii="仿宋" w:hAnsi="仿宋" w:eastAsia="仿宋" w:cs="仿宋"/>
          <w:color w:val="auto"/>
          <w:szCs w:val="28"/>
          <w:highlight w:val="none"/>
        </w:rPr>
        <w:br w:type="page"/>
      </w:r>
    </w:p>
    <w:p>
      <w:pPr>
        <w:pStyle w:val="3"/>
        <w:adjustRightInd w:val="0"/>
        <w:snapToGrid w:val="0"/>
        <w:spacing w:before="0" w:after="0" w:line="240" w:lineRule="auto"/>
        <w:jc w:val="left"/>
        <w:rPr>
          <w:rFonts w:hint="eastAsia" w:ascii="仿宋" w:hAnsi="仿宋" w:eastAsia="仿宋" w:cs="仿宋"/>
          <w:color w:val="auto"/>
          <w:szCs w:val="28"/>
          <w:highlight w:val="none"/>
        </w:rPr>
      </w:pPr>
      <w:r>
        <w:rPr>
          <w:rFonts w:hint="eastAsia" w:ascii="仿宋" w:hAnsi="仿宋" w:eastAsia="仿宋" w:cs="仿宋"/>
          <w:color w:val="auto"/>
          <w:szCs w:val="28"/>
          <w:highlight w:val="none"/>
        </w:rPr>
        <w:t>格式6</w:t>
      </w:r>
    </w:p>
    <w:p>
      <w:pPr>
        <w:spacing w:before="319" w:beforeLines="100" w:after="319" w:afterLines="100" w:line="360" w:lineRule="auto"/>
        <w:ind w:right="-21" w:rightChars="-10"/>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具有良好的商业信誉和健全的财务会计制度的承诺函</w:t>
      </w:r>
    </w:p>
    <w:p>
      <w:pPr>
        <w:spacing w:before="319" w:beforeLines="100" w:after="319" w:afterLines="100" w:line="480" w:lineRule="exact"/>
        <w:ind w:right="630" w:rightChars="30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（格式自拟）</w:t>
      </w:r>
    </w:p>
    <w:p>
      <w:pPr>
        <w:adjustRightInd w:val="0"/>
        <w:snapToGrid w:val="0"/>
        <w:spacing w:line="360" w:lineRule="auto"/>
        <w:ind w:right="105" w:rightChars="50" w:firstLine="476" w:firstLineChars="227"/>
        <w:jc w:val="left"/>
        <w:rPr>
          <w:rFonts w:hint="eastAsia" w:ascii="仿宋" w:hAnsi="仿宋" w:eastAsia="仿宋" w:cs="仿宋"/>
          <w:color w:val="auto"/>
          <w:szCs w:val="21"/>
          <w:highlight w:val="none"/>
        </w:rPr>
      </w:pPr>
    </w:p>
    <w:p>
      <w:pPr>
        <w:adjustRightInd w:val="0"/>
        <w:snapToGrid w:val="0"/>
        <w:spacing w:line="360" w:lineRule="auto"/>
        <w:ind w:right="105" w:rightChars="50" w:firstLine="476" w:firstLineChars="227"/>
        <w:jc w:val="left"/>
        <w:rPr>
          <w:rFonts w:hint="eastAsia" w:ascii="仿宋" w:hAnsi="仿宋" w:eastAsia="仿宋" w:cs="仿宋"/>
          <w:color w:val="auto"/>
          <w:szCs w:val="21"/>
          <w:highlight w:val="none"/>
        </w:rPr>
      </w:pPr>
    </w:p>
    <w:p>
      <w:pPr>
        <w:adjustRightInd w:val="0"/>
        <w:snapToGrid w:val="0"/>
        <w:spacing w:line="360" w:lineRule="auto"/>
        <w:ind w:right="105" w:rightChars="50" w:firstLine="476" w:firstLineChars="227"/>
        <w:jc w:val="left"/>
        <w:rPr>
          <w:rFonts w:hint="eastAsia" w:ascii="仿宋" w:hAnsi="仿宋" w:eastAsia="仿宋" w:cs="仿宋"/>
          <w:color w:val="auto"/>
          <w:szCs w:val="21"/>
          <w:highlight w:val="none"/>
        </w:rPr>
      </w:pPr>
    </w:p>
    <w:p>
      <w:pPr>
        <w:adjustRightInd w:val="0"/>
        <w:snapToGrid w:val="0"/>
        <w:spacing w:line="360" w:lineRule="auto"/>
        <w:ind w:right="105" w:rightChars="50" w:firstLine="476" w:firstLineChars="227"/>
        <w:jc w:val="left"/>
        <w:rPr>
          <w:rFonts w:hint="eastAsia" w:ascii="仿宋" w:hAnsi="仿宋" w:eastAsia="仿宋" w:cs="仿宋"/>
          <w:color w:val="auto"/>
          <w:szCs w:val="21"/>
          <w:highlight w:val="none"/>
        </w:rPr>
      </w:pPr>
    </w:p>
    <w:p>
      <w:pPr>
        <w:adjustRightInd w:val="0"/>
        <w:snapToGrid w:val="0"/>
        <w:spacing w:line="360" w:lineRule="auto"/>
        <w:ind w:right="105" w:rightChars="50" w:firstLine="476" w:firstLineChars="227"/>
        <w:jc w:val="left"/>
        <w:rPr>
          <w:rFonts w:hint="eastAsia" w:ascii="仿宋" w:hAnsi="仿宋" w:eastAsia="仿宋" w:cs="仿宋"/>
          <w:color w:val="auto"/>
          <w:szCs w:val="21"/>
          <w:highlight w:val="none"/>
        </w:rPr>
      </w:pPr>
    </w:p>
    <w:p>
      <w:pPr>
        <w:adjustRightInd w:val="0"/>
        <w:snapToGrid w:val="0"/>
        <w:spacing w:line="360" w:lineRule="auto"/>
        <w:ind w:right="105" w:rightChars="50" w:firstLine="476" w:firstLineChars="227"/>
        <w:jc w:val="left"/>
        <w:rPr>
          <w:rFonts w:hint="eastAsia" w:ascii="仿宋" w:hAnsi="仿宋" w:eastAsia="仿宋" w:cs="仿宋"/>
          <w:color w:val="auto"/>
          <w:szCs w:val="21"/>
          <w:highlight w:val="none"/>
        </w:rPr>
      </w:pPr>
    </w:p>
    <w:p>
      <w:pPr>
        <w:adjustRightInd w:val="0"/>
        <w:snapToGrid w:val="0"/>
        <w:spacing w:line="360" w:lineRule="auto"/>
        <w:ind w:right="105" w:rightChars="50" w:firstLine="476" w:firstLineChars="227"/>
        <w:jc w:val="left"/>
        <w:rPr>
          <w:rFonts w:hint="eastAsia" w:ascii="仿宋" w:hAnsi="仿宋" w:eastAsia="仿宋" w:cs="仿宋"/>
          <w:color w:val="auto"/>
          <w:szCs w:val="21"/>
          <w:highlight w:val="none"/>
        </w:rPr>
      </w:pPr>
    </w:p>
    <w:p>
      <w:pPr>
        <w:adjustRightInd w:val="0"/>
        <w:snapToGrid w:val="0"/>
        <w:spacing w:line="360" w:lineRule="auto"/>
        <w:ind w:right="105" w:rightChars="50" w:firstLine="476" w:firstLineChars="227"/>
        <w:jc w:val="left"/>
        <w:rPr>
          <w:rFonts w:hint="eastAsia" w:ascii="仿宋" w:hAnsi="仿宋" w:eastAsia="仿宋" w:cs="仿宋"/>
          <w:color w:val="auto"/>
          <w:szCs w:val="21"/>
          <w:highlight w:val="none"/>
        </w:rPr>
      </w:pPr>
    </w:p>
    <w:p>
      <w:pPr>
        <w:adjustRightInd w:val="0"/>
        <w:snapToGrid w:val="0"/>
        <w:spacing w:line="360" w:lineRule="auto"/>
        <w:ind w:right="105" w:rightChars="50" w:firstLine="476" w:firstLineChars="227"/>
        <w:jc w:val="left"/>
        <w:rPr>
          <w:rFonts w:hint="eastAsia" w:ascii="仿宋" w:hAnsi="仿宋" w:eastAsia="仿宋" w:cs="仿宋"/>
          <w:color w:val="auto"/>
          <w:szCs w:val="21"/>
          <w:highlight w:val="none"/>
        </w:rPr>
      </w:pPr>
    </w:p>
    <w:p>
      <w:pPr>
        <w:snapToGrid w:val="0"/>
        <w:spacing w:line="480" w:lineRule="auto"/>
        <w:rPr>
          <w:rFonts w:hint="eastAsia" w:ascii="仿宋" w:hAnsi="仿宋" w:eastAsia="仿宋" w:cs="仿宋"/>
          <w:color w:val="auto"/>
          <w:highlight w:val="none"/>
        </w:rPr>
      </w:pPr>
      <w:r>
        <w:rPr>
          <w:rFonts w:hint="eastAsia" w:ascii="仿宋" w:hAnsi="仿宋" w:eastAsia="仿宋" w:cs="仿宋"/>
          <w:color w:val="auto"/>
          <w:highlight w:val="none"/>
        </w:rPr>
        <w:t>投标人名称（加盖单位公章）：</w:t>
      </w:r>
      <w:r>
        <w:rPr>
          <w:rFonts w:hint="eastAsia" w:ascii="仿宋" w:hAnsi="仿宋" w:eastAsia="仿宋" w:cs="仿宋"/>
          <w:color w:val="auto"/>
          <w:highlight w:val="none"/>
          <w:u w:val="single"/>
        </w:rPr>
        <w:t xml:space="preserve">           </w:t>
      </w:r>
    </w:p>
    <w:p>
      <w:pPr>
        <w:snapToGrid w:val="0"/>
        <w:spacing w:line="480" w:lineRule="auto"/>
        <w:rPr>
          <w:rFonts w:hint="eastAsia" w:ascii="仿宋" w:hAnsi="仿宋" w:eastAsia="仿宋" w:cs="仿宋"/>
          <w:color w:val="auto"/>
          <w:highlight w:val="none"/>
        </w:rPr>
      </w:pPr>
      <w:r>
        <w:rPr>
          <w:rFonts w:hint="eastAsia" w:ascii="仿宋" w:hAnsi="仿宋" w:eastAsia="仿宋" w:cs="仿宋"/>
          <w:color w:val="auto"/>
          <w:highlight w:val="none"/>
        </w:rPr>
        <w:t>法定代表人（或</w:t>
      </w:r>
      <w:r>
        <w:rPr>
          <w:rFonts w:hint="eastAsia" w:ascii="仿宋" w:hAnsi="仿宋" w:eastAsia="仿宋" w:cs="仿宋"/>
          <w:color w:val="auto"/>
          <w:szCs w:val="21"/>
          <w:highlight w:val="none"/>
        </w:rPr>
        <w:t>非法人组织负责人）或</w:t>
      </w:r>
      <w:r>
        <w:rPr>
          <w:rFonts w:hint="eastAsia" w:ascii="仿宋" w:hAnsi="仿宋" w:eastAsia="仿宋" w:cs="仿宋"/>
          <w:color w:val="auto"/>
          <w:highlight w:val="none"/>
        </w:rPr>
        <w:t>其</w:t>
      </w:r>
      <w:r>
        <w:rPr>
          <w:rFonts w:hint="eastAsia" w:ascii="仿宋" w:hAnsi="仿宋" w:eastAsia="仿宋" w:cs="仿宋"/>
          <w:color w:val="auto"/>
          <w:szCs w:val="21"/>
          <w:highlight w:val="none"/>
        </w:rPr>
        <w:t>授权</w:t>
      </w:r>
      <w:r>
        <w:rPr>
          <w:rFonts w:hint="eastAsia" w:ascii="仿宋" w:hAnsi="仿宋" w:eastAsia="仿宋" w:cs="仿宋"/>
          <w:color w:val="auto"/>
          <w:highlight w:val="none"/>
        </w:rPr>
        <w:t>委托</w:t>
      </w:r>
      <w:r>
        <w:rPr>
          <w:rFonts w:hint="eastAsia" w:ascii="仿宋" w:hAnsi="仿宋" w:eastAsia="仿宋" w:cs="仿宋"/>
          <w:color w:val="auto"/>
          <w:szCs w:val="21"/>
          <w:highlight w:val="none"/>
        </w:rPr>
        <w:t>人</w:t>
      </w:r>
      <w:r>
        <w:rPr>
          <w:rFonts w:hint="eastAsia" w:ascii="仿宋" w:hAnsi="仿宋" w:eastAsia="仿宋" w:cs="仿宋"/>
          <w:color w:val="auto"/>
          <w:highlight w:val="none"/>
        </w:rPr>
        <w:t>(签字或盖章)：</w:t>
      </w:r>
      <w:r>
        <w:rPr>
          <w:rFonts w:hint="eastAsia" w:ascii="仿宋" w:hAnsi="仿宋" w:eastAsia="仿宋" w:cs="仿宋"/>
          <w:color w:val="auto"/>
          <w:highlight w:val="none"/>
          <w:u w:val="single"/>
        </w:rPr>
        <w:t xml:space="preserve">           </w:t>
      </w:r>
    </w:p>
    <w:p>
      <w:pPr>
        <w:adjustRightInd w:val="0"/>
        <w:snapToGrid w:val="0"/>
        <w:spacing w:line="360" w:lineRule="auto"/>
        <w:ind w:right="105" w:rightChars="50"/>
        <w:jc w:val="left"/>
        <w:rPr>
          <w:rFonts w:hint="eastAsia" w:ascii="仿宋" w:hAnsi="仿宋" w:eastAsia="仿宋" w:cs="仿宋"/>
          <w:color w:val="auto"/>
          <w:highlight w:val="none"/>
          <w:u w:val="single"/>
        </w:rPr>
      </w:pPr>
      <w:r>
        <w:rPr>
          <w:rFonts w:hint="eastAsia" w:ascii="仿宋" w:hAnsi="仿宋" w:eastAsia="仿宋" w:cs="仿宋"/>
          <w:color w:val="auto"/>
          <w:highlight w:val="none"/>
        </w:rPr>
        <w:t>日期：</w:t>
      </w:r>
      <w:r>
        <w:rPr>
          <w:rFonts w:hint="eastAsia" w:ascii="仿宋" w:hAnsi="仿宋" w:eastAsia="仿宋" w:cs="仿宋"/>
          <w:color w:val="auto"/>
          <w:highlight w:val="none"/>
          <w:u w:val="single"/>
        </w:rPr>
        <w:t xml:space="preserve">                </w:t>
      </w:r>
    </w:p>
    <w:p>
      <w:pPr>
        <w:adjustRightInd w:val="0"/>
        <w:snapToGrid w:val="0"/>
        <w:spacing w:line="360" w:lineRule="auto"/>
        <w:ind w:right="105" w:rightChars="50"/>
        <w:jc w:val="left"/>
        <w:rPr>
          <w:rFonts w:hint="eastAsia" w:ascii="仿宋" w:hAnsi="仿宋" w:eastAsia="仿宋" w:cs="仿宋"/>
          <w:color w:val="auto"/>
          <w:highlight w:val="none"/>
          <w:u w:val="single"/>
        </w:rPr>
      </w:pPr>
    </w:p>
    <w:p>
      <w:pPr>
        <w:rPr>
          <w:rFonts w:hint="eastAsia" w:ascii="仿宋" w:hAnsi="仿宋" w:eastAsia="仿宋" w:cs="仿宋"/>
          <w:color w:val="auto"/>
          <w:szCs w:val="28"/>
          <w:highlight w:val="none"/>
        </w:rPr>
      </w:pPr>
      <w:r>
        <w:rPr>
          <w:rFonts w:hint="eastAsia" w:ascii="仿宋" w:hAnsi="仿宋" w:eastAsia="仿宋" w:cs="仿宋"/>
          <w:color w:val="auto"/>
          <w:szCs w:val="28"/>
          <w:highlight w:val="none"/>
        </w:rPr>
        <w:br w:type="page"/>
      </w:r>
    </w:p>
    <w:p>
      <w:pPr>
        <w:pStyle w:val="3"/>
        <w:adjustRightInd w:val="0"/>
        <w:snapToGrid w:val="0"/>
        <w:spacing w:before="0" w:after="0" w:line="240" w:lineRule="auto"/>
        <w:jc w:val="left"/>
        <w:rPr>
          <w:rFonts w:hint="eastAsia" w:ascii="仿宋" w:hAnsi="仿宋" w:eastAsia="仿宋" w:cs="仿宋"/>
          <w:color w:val="auto"/>
          <w:szCs w:val="28"/>
          <w:highlight w:val="none"/>
        </w:rPr>
      </w:pPr>
      <w:r>
        <w:rPr>
          <w:rFonts w:hint="eastAsia" w:ascii="仿宋" w:hAnsi="仿宋" w:eastAsia="仿宋" w:cs="仿宋"/>
          <w:color w:val="auto"/>
          <w:szCs w:val="28"/>
          <w:highlight w:val="none"/>
        </w:rPr>
        <w:t>格式7</w:t>
      </w:r>
    </w:p>
    <w:p>
      <w:pPr>
        <w:spacing w:before="319" w:beforeLines="100" w:after="319" w:afterLines="100" w:line="360" w:lineRule="auto"/>
        <w:ind w:right="-21" w:rightChars="-10"/>
        <w:jc w:val="center"/>
        <w:rPr>
          <w:rFonts w:hint="eastAsia" w:ascii="仿宋" w:hAnsi="仿宋" w:eastAsia="仿宋" w:cs="仿宋"/>
          <w:b/>
          <w:color w:val="auto"/>
          <w:sz w:val="32"/>
          <w:szCs w:val="32"/>
          <w:highlight w:val="none"/>
        </w:rPr>
      </w:pPr>
      <w:bookmarkStart w:id="98" w:name="_Toc12037_WPSOffice_Level2"/>
      <w:bookmarkStart w:id="99" w:name="_Toc23728_WPSOffice_Level2"/>
      <w:r>
        <w:rPr>
          <w:rFonts w:hint="eastAsia" w:ascii="仿宋" w:hAnsi="仿宋" w:eastAsia="仿宋" w:cs="仿宋"/>
          <w:b/>
          <w:color w:val="auto"/>
          <w:sz w:val="32"/>
          <w:szCs w:val="32"/>
          <w:highlight w:val="none"/>
        </w:rPr>
        <w:t>具备履行合同所必需的设备和专业技术能力声明函</w:t>
      </w:r>
      <w:bookmarkEnd w:id="98"/>
      <w:bookmarkEnd w:id="99"/>
    </w:p>
    <w:p>
      <w:pPr>
        <w:spacing w:before="319" w:beforeLines="100" w:after="319" w:afterLines="100" w:line="480" w:lineRule="exact"/>
        <w:ind w:right="630" w:rightChars="300"/>
        <w:jc w:val="center"/>
        <w:rPr>
          <w:rFonts w:hint="eastAsia" w:ascii="仿宋" w:hAnsi="仿宋" w:eastAsia="仿宋" w:cs="仿宋"/>
          <w:color w:val="auto"/>
          <w:sz w:val="28"/>
          <w:szCs w:val="28"/>
          <w:highlight w:val="none"/>
        </w:rPr>
      </w:pPr>
      <w:bookmarkStart w:id="100" w:name="_Toc1917_WPSOffice_Level2"/>
      <w:bookmarkStart w:id="101" w:name="_Toc28831_WPSOffice_Level2"/>
      <w:r>
        <w:rPr>
          <w:rFonts w:hint="eastAsia" w:ascii="仿宋" w:hAnsi="仿宋" w:eastAsia="仿宋" w:cs="仿宋"/>
          <w:color w:val="auto"/>
          <w:sz w:val="28"/>
          <w:szCs w:val="28"/>
          <w:highlight w:val="none"/>
        </w:rPr>
        <w:t>（格式自拟）</w:t>
      </w:r>
      <w:bookmarkEnd w:id="100"/>
      <w:bookmarkEnd w:id="101"/>
    </w:p>
    <w:p>
      <w:pPr>
        <w:adjustRightInd w:val="0"/>
        <w:snapToGrid w:val="0"/>
        <w:spacing w:line="360" w:lineRule="auto"/>
        <w:ind w:right="105" w:rightChars="50" w:firstLine="476" w:firstLineChars="227"/>
        <w:jc w:val="left"/>
        <w:rPr>
          <w:rFonts w:hint="eastAsia" w:ascii="仿宋" w:hAnsi="仿宋" w:eastAsia="仿宋" w:cs="仿宋"/>
          <w:color w:val="auto"/>
          <w:szCs w:val="21"/>
          <w:highlight w:val="none"/>
        </w:rPr>
      </w:pPr>
    </w:p>
    <w:p>
      <w:pPr>
        <w:adjustRightInd w:val="0"/>
        <w:snapToGrid w:val="0"/>
        <w:spacing w:line="360" w:lineRule="auto"/>
        <w:ind w:right="105" w:rightChars="50" w:firstLine="476" w:firstLineChars="227"/>
        <w:jc w:val="left"/>
        <w:rPr>
          <w:rFonts w:hint="eastAsia" w:ascii="仿宋" w:hAnsi="仿宋" w:eastAsia="仿宋" w:cs="仿宋"/>
          <w:color w:val="auto"/>
          <w:szCs w:val="21"/>
          <w:highlight w:val="none"/>
        </w:rPr>
      </w:pPr>
    </w:p>
    <w:p>
      <w:pPr>
        <w:adjustRightInd w:val="0"/>
        <w:snapToGrid w:val="0"/>
        <w:spacing w:line="360" w:lineRule="auto"/>
        <w:ind w:right="105" w:rightChars="50" w:firstLine="476" w:firstLineChars="227"/>
        <w:jc w:val="left"/>
        <w:rPr>
          <w:rFonts w:hint="eastAsia" w:ascii="仿宋" w:hAnsi="仿宋" w:eastAsia="仿宋" w:cs="仿宋"/>
          <w:color w:val="auto"/>
          <w:szCs w:val="21"/>
          <w:highlight w:val="none"/>
        </w:rPr>
      </w:pPr>
    </w:p>
    <w:p>
      <w:pPr>
        <w:adjustRightInd w:val="0"/>
        <w:snapToGrid w:val="0"/>
        <w:spacing w:line="360" w:lineRule="auto"/>
        <w:ind w:right="105" w:rightChars="50" w:firstLine="476" w:firstLineChars="227"/>
        <w:jc w:val="left"/>
        <w:rPr>
          <w:rFonts w:hint="eastAsia" w:ascii="仿宋" w:hAnsi="仿宋" w:eastAsia="仿宋" w:cs="仿宋"/>
          <w:color w:val="auto"/>
          <w:szCs w:val="21"/>
          <w:highlight w:val="none"/>
        </w:rPr>
      </w:pPr>
    </w:p>
    <w:p>
      <w:pPr>
        <w:adjustRightInd w:val="0"/>
        <w:snapToGrid w:val="0"/>
        <w:spacing w:line="360" w:lineRule="auto"/>
        <w:ind w:right="105" w:rightChars="50" w:firstLine="476" w:firstLineChars="227"/>
        <w:jc w:val="left"/>
        <w:rPr>
          <w:rFonts w:hint="eastAsia" w:ascii="仿宋" w:hAnsi="仿宋" w:eastAsia="仿宋" w:cs="仿宋"/>
          <w:color w:val="auto"/>
          <w:szCs w:val="21"/>
          <w:highlight w:val="none"/>
        </w:rPr>
      </w:pPr>
    </w:p>
    <w:p>
      <w:pPr>
        <w:adjustRightInd w:val="0"/>
        <w:snapToGrid w:val="0"/>
        <w:spacing w:line="360" w:lineRule="auto"/>
        <w:ind w:right="105" w:rightChars="50" w:firstLine="476" w:firstLineChars="227"/>
        <w:jc w:val="left"/>
        <w:rPr>
          <w:rFonts w:hint="eastAsia" w:ascii="仿宋" w:hAnsi="仿宋" w:eastAsia="仿宋" w:cs="仿宋"/>
          <w:color w:val="auto"/>
          <w:szCs w:val="21"/>
          <w:highlight w:val="none"/>
        </w:rPr>
      </w:pPr>
    </w:p>
    <w:p>
      <w:pPr>
        <w:adjustRightInd w:val="0"/>
        <w:snapToGrid w:val="0"/>
        <w:spacing w:line="360" w:lineRule="auto"/>
        <w:ind w:right="105" w:rightChars="50" w:firstLine="476" w:firstLineChars="227"/>
        <w:jc w:val="left"/>
        <w:rPr>
          <w:rFonts w:hint="eastAsia" w:ascii="仿宋" w:hAnsi="仿宋" w:eastAsia="仿宋" w:cs="仿宋"/>
          <w:color w:val="auto"/>
          <w:szCs w:val="21"/>
          <w:highlight w:val="none"/>
        </w:rPr>
      </w:pPr>
    </w:p>
    <w:p>
      <w:pPr>
        <w:adjustRightInd w:val="0"/>
        <w:snapToGrid w:val="0"/>
        <w:spacing w:line="360" w:lineRule="auto"/>
        <w:ind w:right="105" w:rightChars="50" w:firstLine="476" w:firstLineChars="227"/>
        <w:jc w:val="left"/>
        <w:rPr>
          <w:rFonts w:hint="eastAsia" w:ascii="仿宋" w:hAnsi="仿宋" w:eastAsia="仿宋" w:cs="仿宋"/>
          <w:color w:val="auto"/>
          <w:szCs w:val="21"/>
          <w:highlight w:val="none"/>
        </w:rPr>
      </w:pPr>
    </w:p>
    <w:p>
      <w:pPr>
        <w:adjustRightInd w:val="0"/>
        <w:snapToGrid w:val="0"/>
        <w:spacing w:line="360" w:lineRule="auto"/>
        <w:ind w:right="105" w:rightChars="50" w:firstLine="476" w:firstLineChars="227"/>
        <w:jc w:val="left"/>
        <w:rPr>
          <w:rFonts w:hint="eastAsia" w:ascii="仿宋" w:hAnsi="仿宋" w:eastAsia="仿宋" w:cs="仿宋"/>
          <w:color w:val="auto"/>
          <w:szCs w:val="21"/>
          <w:highlight w:val="none"/>
        </w:rPr>
      </w:pPr>
    </w:p>
    <w:p>
      <w:pPr>
        <w:snapToGrid w:val="0"/>
        <w:spacing w:line="480" w:lineRule="auto"/>
        <w:rPr>
          <w:rFonts w:hint="eastAsia" w:ascii="仿宋" w:hAnsi="仿宋" w:eastAsia="仿宋" w:cs="仿宋"/>
          <w:color w:val="auto"/>
          <w:highlight w:val="none"/>
        </w:rPr>
      </w:pPr>
      <w:r>
        <w:rPr>
          <w:rFonts w:hint="eastAsia" w:ascii="仿宋" w:hAnsi="仿宋" w:eastAsia="仿宋" w:cs="仿宋"/>
          <w:color w:val="auto"/>
          <w:highlight w:val="none"/>
        </w:rPr>
        <w:t>投标人名称（加盖单位公章）：</w:t>
      </w:r>
      <w:r>
        <w:rPr>
          <w:rFonts w:hint="eastAsia" w:ascii="仿宋" w:hAnsi="仿宋" w:eastAsia="仿宋" w:cs="仿宋"/>
          <w:color w:val="auto"/>
          <w:highlight w:val="none"/>
          <w:u w:val="single"/>
        </w:rPr>
        <w:t xml:space="preserve">           </w:t>
      </w:r>
    </w:p>
    <w:p>
      <w:pPr>
        <w:snapToGrid w:val="0"/>
        <w:spacing w:line="480" w:lineRule="auto"/>
        <w:rPr>
          <w:rFonts w:hint="eastAsia" w:ascii="仿宋" w:hAnsi="仿宋" w:eastAsia="仿宋" w:cs="仿宋"/>
          <w:color w:val="auto"/>
          <w:highlight w:val="none"/>
        </w:rPr>
      </w:pPr>
      <w:r>
        <w:rPr>
          <w:rFonts w:hint="eastAsia" w:ascii="仿宋" w:hAnsi="仿宋" w:eastAsia="仿宋" w:cs="仿宋"/>
          <w:color w:val="auto"/>
          <w:highlight w:val="none"/>
        </w:rPr>
        <w:t>法定代表人（或</w:t>
      </w:r>
      <w:r>
        <w:rPr>
          <w:rFonts w:hint="eastAsia" w:ascii="仿宋" w:hAnsi="仿宋" w:eastAsia="仿宋" w:cs="仿宋"/>
          <w:color w:val="auto"/>
          <w:szCs w:val="21"/>
          <w:highlight w:val="none"/>
        </w:rPr>
        <w:t>非法人组织负责人）或</w:t>
      </w:r>
      <w:r>
        <w:rPr>
          <w:rFonts w:hint="eastAsia" w:ascii="仿宋" w:hAnsi="仿宋" w:eastAsia="仿宋" w:cs="仿宋"/>
          <w:color w:val="auto"/>
          <w:highlight w:val="none"/>
        </w:rPr>
        <w:t>其</w:t>
      </w:r>
      <w:r>
        <w:rPr>
          <w:rFonts w:hint="eastAsia" w:ascii="仿宋" w:hAnsi="仿宋" w:eastAsia="仿宋" w:cs="仿宋"/>
          <w:color w:val="auto"/>
          <w:szCs w:val="21"/>
          <w:highlight w:val="none"/>
        </w:rPr>
        <w:t>授权</w:t>
      </w:r>
      <w:r>
        <w:rPr>
          <w:rFonts w:hint="eastAsia" w:ascii="仿宋" w:hAnsi="仿宋" w:eastAsia="仿宋" w:cs="仿宋"/>
          <w:color w:val="auto"/>
          <w:highlight w:val="none"/>
        </w:rPr>
        <w:t>委托</w:t>
      </w:r>
      <w:r>
        <w:rPr>
          <w:rFonts w:hint="eastAsia" w:ascii="仿宋" w:hAnsi="仿宋" w:eastAsia="仿宋" w:cs="仿宋"/>
          <w:color w:val="auto"/>
          <w:szCs w:val="21"/>
          <w:highlight w:val="none"/>
        </w:rPr>
        <w:t>人</w:t>
      </w:r>
      <w:r>
        <w:rPr>
          <w:rFonts w:hint="eastAsia" w:ascii="仿宋" w:hAnsi="仿宋" w:eastAsia="仿宋" w:cs="仿宋"/>
          <w:color w:val="auto"/>
          <w:highlight w:val="none"/>
        </w:rPr>
        <w:t>(签字或盖章)：</w:t>
      </w:r>
      <w:r>
        <w:rPr>
          <w:rFonts w:hint="eastAsia" w:ascii="仿宋" w:hAnsi="仿宋" w:eastAsia="仿宋" w:cs="仿宋"/>
          <w:color w:val="auto"/>
          <w:highlight w:val="none"/>
          <w:u w:val="single"/>
        </w:rPr>
        <w:t xml:space="preserve">           </w:t>
      </w:r>
    </w:p>
    <w:p>
      <w:pPr>
        <w:adjustRightInd w:val="0"/>
        <w:snapToGrid w:val="0"/>
        <w:spacing w:line="360" w:lineRule="auto"/>
        <w:ind w:right="105" w:rightChars="50"/>
        <w:jc w:val="left"/>
        <w:rPr>
          <w:rFonts w:hint="eastAsia" w:ascii="仿宋" w:hAnsi="仿宋" w:eastAsia="仿宋" w:cs="仿宋"/>
          <w:color w:val="auto"/>
          <w:highlight w:val="none"/>
          <w:u w:val="single"/>
        </w:rPr>
      </w:pPr>
      <w:r>
        <w:rPr>
          <w:rFonts w:hint="eastAsia" w:ascii="仿宋" w:hAnsi="仿宋" w:eastAsia="仿宋" w:cs="仿宋"/>
          <w:color w:val="auto"/>
          <w:highlight w:val="none"/>
        </w:rPr>
        <w:t>日期：</w:t>
      </w:r>
      <w:r>
        <w:rPr>
          <w:rFonts w:hint="eastAsia" w:ascii="仿宋" w:hAnsi="仿宋" w:eastAsia="仿宋" w:cs="仿宋"/>
          <w:color w:val="auto"/>
          <w:highlight w:val="none"/>
          <w:u w:val="single"/>
        </w:rPr>
        <w:t xml:space="preserve">                </w:t>
      </w:r>
    </w:p>
    <w:p>
      <w:pPr>
        <w:adjustRightInd w:val="0"/>
        <w:snapToGrid w:val="0"/>
        <w:spacing w:line="360" w:lineRule="auto"/>
        <w:ind w:right="105" w:rightChars="50"/>
        <w:jc w:val="left"/>
        <w:rPr>
          <w:rFonts w:hint="eastAsia" w:ascii="仿宋" w:hAnsi="仿宋" w:eastAsia="仿宋" w:cs="仿宋"/>
          <w:color w:val="auto"/>
          <w:highlight w:val="none"/>
          <w:u w:val="single"/>
        </w:rPr>
      </w:pPr>
    </w:p>
    <w:p>
      <w:pPr>
        <w:adjustRightInd w:val="0"/>
        <w:snapToGrid w:val="0"/>
        <w:spacing w:line="360" w:lineRule="auto"/>
        <w:ind w:right="105" w:rightChars="50"/>
        <w:jc w:val="left"/>
        <w:rPr>
          <w:rFonts w:hint="eastAsia" w:ascii="仿宋" w:hAnsi="仿宋" w:eastAsia="仿宋" w:cs="仿宋"/>
          <w:b/>
          <w:color w:val="auto"/>
          <w:sz w:val="28"/>
          <w:szCs w:val="28"/>
          <w:highlight w:val="none"/>
        </w:rPr>
      </w:pPr>
    </w:p>
    <w:p>
      <w:pPr>
        <w:widowControl/>
        <w:jc w:val="left"/>
        <w:rPr>
          <w:rFonts w:hint="eastAsia" w:ascii="仿宋" w:hAnsi="仿宋" w:eastAsia="仿宋" w:cs="仿宋"/>
          <w:b/>
          <w:color w:val="auto"/>
          <w:sz w:val="28"/>
          <w:szCs w:val="28"/>
          <w:highlight w:val="none"/>
        </w:rPr>
      </w:pPr>
      <w:r>
        <w:rPr>
          <w:rFonts w:hint="eastAsia" w:ascii="仿宋" w:hAnsi="仿宋" w:eastAsia="仿宋" w:cs="仿宋"/>
          <w:color w:val="auto"/>
          <w:szCs w:val="28"/>
          <w:highlight w:val="none"/>
        </w:rPr>
        <w:br w:type="page"/>
      </w:r>
    </w:p>
    <w:p>
      <w:pPr>
        <w:pStyle w:val="3"/>
        <w:adjustRightInd w:val="0"/>
        <w:snapToGrid w:val="0"/>
        <w:spacing w:before="0" w:after="0" w:line="240" w:lineRule="auto"/>
        <w:jc w:val="left"/>
        <w:rPr>
          <w:rFonts w:hint="eastAsia" w:ascii="仿宋" w:hAnsi="仿宋" w:eastAsia="仿宋" w:cs="仿宋"/>
          <w:color w:val="auto"/>
          <w:highlight w:val="none"/>
        </w:rPr>
      </w:pPr>
      <w:r>
        <w:rPr>
          <w:rFonts w:hint="eastAsia" w:ascii="仿宋" w:hAnsi="仿宋" w:eastAsia="仿宋" w:cs="仿宋"/>
          <w:color w:val="auto"/>
          <w:szCs w:val="28"/>
          <w:highlight w:val="none"/>
        </w:rPr>
        <w:t>格式8</w:t>
      </w:r>
    </w:p>
    <w:p>
      <w:pPr>
        <w:spacing w:before="319" w:beforeLines="100" w:after="319" w:afterLines="100" w:line="360" w:lineRule="auto"/>
        <w:ind w:right="-21" w:rightChars="-10"/>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 xml:space="preserve">   </w:t>
      </w:r>
      <w:bookmarkStart w:id="102" w:name="_Toc7498_WPSOffice_Level2"/>
      <w:bookmarkStart w:id="103" w:name="_Toc11967_WPSOffice_Level2"/>
      <w:r>
        <w:rPr>
          <w:rFonts w:hint="eastAsia" w:ascii="仿宋" w:hAnsi="仿宋" w:eastAsia="仿宋" w:cs="仿宋"/>
          <w:b/>
          <w:color w:val="auto"/>
          <w:sz w:val="32"/>
          <w:szCs w:val="32"/>
          <w:highlight w:val="none"/>
        </w:rPr>
        <w:t>参加政府采购活动前3年内在经营活动中没有重大违法记录的书面声明</w:t>
      </w:r>
      <w:bookmarkEnd w:id="102"/>
      <w:bookmarkEnd w:id="103"/>
    </w:p>
    <w:p>
      <w:pPr>
        <w:spacing w:line="360" w:lineRule="auto"/>
        <w:ind w:right="630" w:rightChars="300"/>
        <w:rPr>
          <w:rFonts w:hint="eastAsia" w:ascii="仿宋" w:hAnsi="仿宋" w:eastAsia="仿宋" w:cs="仿宋"/>
          <w:b/>
          <w:color w:val="auto"/>
          <w:szCs w:val="21"/>
          <w:highlight w:val="none"/>
        </w:rPr>
      </w:pPr>
      <w:r>
        <w:rPr>
          <w:rFonts w:hint="eastAsia" w:ascii="仿宋" w:hAnsi="仿宋" w:eastAsia="仿宋" w:cs="仿宋"/>
          <w:b/>
          <w:color w:val="auto"/>
          <w:szCs w:val="21"/>
          <w:highlight w:val="none"/>
          <w:u w:val="single"/>
        </w:rPr>
        <w:t xml:space="preserve">（采购人或采购代理机构名称） </w:t>
      </w:r>
      <w:r>
        <w:rPr>
          <w:rFonts w:hint="eastAsia" w:ascii="仿宋" w:hAnsi="仿宋" w:eastAsia="仿宋" w:cs="仿宋"/>
          <w:b/>
          <w:color w:val="auto"/>
          <w:szCs w:val="21"/>
          <w:highlight w:val="none"/>
        </w:rPr>
        <w:t xml:space="preserve"> ：</w:t>
      </w:r>
    </w:p>
    <w:p>
      <w:pPr>
        <w:spacing w:line="360" w:lineRule="auto"/>
        <w:ind w:right="-21" w:rightChars="-10" w:firstLine="493" w:firstLineChars="235"/>
        <w:rPr>
          <w:rFonts w:hint="eastAsia" w:ascii="仿宋" w:hAnsi="仿宋" w:eastAsia="仿宋" w:cs="仿宋"/>
          <w:color w:val="auto"/>
          <w:szCs w:val="21"/>
          <w:highlight w:val="none"/>
        </w:rPr>
      </w:pPr>
      <w:r>
        <w:rPr>
          <w:rFonts w:hint="eastAsia" w:ascii="仿宋" w:hAnsi="仿宋" w:eastAsia="仿宋" w:cs="仿宋"/>
          <w:color w:val="auto"/>
          <w:szCs w:val="21"/>
          <w:highlight w:val="none"/>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pPr>
        <w:tabs>
          <w:tab w:val="left" w:pos="10065"/>
        </w:tabs>
        <w:spacing w:line="360" w:lineRule="auto"/>
        <w:ind w:right="-21" w:rightChars="-10" w:firstLine="371" w:firstLineChars="177"/>
        <w:rPr>
          <w:rFonts w:hint="eastAsia" w:ascii="仿宋" w:hAnsi="仿宋" w:eastAsia="仿宋" w:cs="仿宋"/>
          <w:color w:val="auto"/>
          <w:szCs w:val="21"/>
          <w:highlight w:val="none"/>
        </w:rPr>
      </w:pPr>
      <w:r>
        <w:rPr>
          <w:rFonts w:hint="eastAsia" w:ascii="仿宋" w:hAnsi="仿宋" w:eastAsia="仿宋" w:cs="仿宋"/>
          <w:color w:val="auto"/>
          <w:szCs w:val="21"/>
          <w:highlight w:val="none"/>
        </w:rPr>
        <w:t>如发现我单位提供的声明函不实时，我单位将按照《政府采购法》有关提供虚假材料的规定，接受处罚。</w:t>
      </w:r>
    </w:p>
    <w:p>
      <w:pPr>
        <w:spacing w:line="360" w:lineRule="auto"/>
        <w:ind w:right="1050" w:rightChars="500"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特此声明。</w:t>
      </w:r>
    </w:p>
    <w:p>
      <w:pPr>
        <w:spacing w:line="500" w:lineRule="exact"/>
        <w:ind w:right="1050" w:rightChars="500"/>
        <w:rPr>
          <w:rFonts w:hint="eastAsia" w:ascii="仿宋" w:hAnsi="仿宋" w:eastAsia="仿宋" w:cs="仿宋"/>
          <w:color w:val="auto"/>
          <w:szCs w:val="21"/>
          <w:highlight w:val="none"/>
        </w:rPr>
      </w:pPr>
    </w:p>
    <w:p>
      <w:pPr>
        <w:spacing w:before="159" w:beforeLines="50" w:after="159" w:afterLines="50" w:line="400" w:lineRule="exact"/>
        <w:ind w:right="1050" w:rightChars="500"/>
        <w:rPr>
          <w:rFonts w:hint="eastAsia" w:ascii="仿宋" w:hAnsi="仿宋" w:eastAsia="仿宋" w:cs="仿宋"/>
          <w:color w:val="auto"/>
          <w:szCs w:val="21"/>
          <w:highlight w:val="none"/>
        </w:rPr>
      </w:pPr>
    </w:p>
    <w:p>
      <w:pPr>
        <w:spacing w:before="159" w:beforeLines="50" w:after="159" w:afterLines="50" w:line="400" w:lineRule="exact"/>
        <w:ind w:right="1050" w:rightChars="500"/>
        <w:rPr>
          <w:rFonts w:hint="eastAsia" w:ascii="仿宋" w:hAnsi="仿宋" w:eastAsia="仿宋" w:cs="仿宋"/>
          <w:color w:val="auto"/>
          <w:szCs w:val="21"/>
          <w:highlight w:val="none"/>
        </w:rPr>
      </w:pPr>
    </w:p>
    <w:p>
      <w:pPr>
        <w:spacing w:before="159" w:beforeLines="50" w:after="159" w:afterLines="50" w:line="400" w:lineRule="exact"/>
        <w:ind w:right="1050" w:rightChars="500"/>
        <w:rPr>
          <w:rFonts w:hint="eastAsia" w:ascii="仿宋" w:hAnsi="仿宋" w:eastAsia="仿宋" w:cs="仿宋"/>
          <w:color w:val="auto"/>
          <w:szCs w:val="21"/>
          <w:highlight w:val="none"/>
        </w:rPr>
      </w:pPr>
    </w:p>
    <w:p>
      <w:pPr>
        <w:spacing w:line="360" w:lineRule="exact"/>
        <w:ind w:right="1050" w:rightChars="500"/>
        <w:rPr>
          <w:rFonts w:hint="eastAsia" w:ascii="仿宋" w:hAnsi="仿宋" w:eastAsia="仿宋" w:cs="仿宋"/>
          <w:color w:val="auto"/>
          <w:szCs w:val="21"/>
          <w:highlight w:val="none"/>
        </w:rPr>
      </w:pPr>
    </w:p>
    <w:p>
      <w:pPr>
        <w:spacing w:line="480" w:lineRule="auto"/>
        <w:rPr>
          <w:rFonts w:hint="eastAsia" w:ascii="仿宋" w:hAnsi="仿宋" w:eastAsia="仿宋" w:cs="仿宋"/>
          <w:color w:val="auto"/>
          <w:highlight w:val="none"/>
        </w:rPr>
      </w:pPr>
      <w:r>
        <w:rPr>
          <w:rFonts w:hint="eastAsia" w:ascii="仿宋" w:hAnsi="仿宋" w:eastAsia="仿宋" w:cs="仿宋"/>
          <w:color w:val="auto"/>
          <w:highlight w:val="none"/>
        </w:rPr>
        <w:t>投标人名称（加盖单位公章）：</w:t>
      </w:r>
      <w:r>
        <w:rPr>
          <w:rFonts w:hint="eastAsia" w:ascii="仿宋" w:hAnsi="仿宋" w:eastAsia="仿宋" w:cs="仿宋"/>
          <w:color w:val="auto"/>
          <w:highlight w:val="none"/>
          <w:u w:val="single"/>
        </w:rPr>
        <w:t xml:space="preserve">           </w:t>
      </w:r>
    </w:p>
    <w:p>
      <w:pPr>
        <w:spacing w:line="480" w:lineRule="auto"/>
        <w:rPr>
          <w:rFonts w:hint="eastAsia" w:ascii="仿宋" w:hAnsi="仿宋" w:eastAsia="仿宋" w:cs="仿宋"/>
          <w:color w:val="auto"/>
          <w:highlight w:val="none"/>
        </w:rPr>
      </w:pPr>
      <w:r>
        <w:rPr>
          <w:rFonts w:hint="eastAsia" w:ascii="仿宋" w:hAnsi="仿宋" w:eastAsia="仿宋" w:cs="仿宋"/>
          <w:color w:val="auto"/>
          <w:highlight w:val="none"/>
        </w:rPr>
        <w:t>法定代表人（或</w:t>
      </w:r>
      <w:r>
        <w:rPr>
          <w:rFonts w:hint="eastAsia" w:ascii="仿宋" w:hAnsi="仿宋" w:eastAsia="仿宋" w:cs="仿宋"/>
          <w:color w:val="auto"/>
          <w:szCs w:val="21"/>
          <w:highlight w:val="none"/>
        </w:rPr>
        <w:t>非法人组织负责人）或</w:t>
      </w:r>
      <w:r>
        <w:rPr>
          <w:rFonts w:hint="eastAsia" w:ascii="仿宋" w:hAnsi="仿宋" w:eastAsia="仿宋" w:cs="仿宋"/>
          <w:color w:val="auto"/>
          <w:highlight w:val="none"/>
        </w:rPr>
        <w:t>其</w:t>
      </w:r>
      <w:r>
        <w:rPr>
          <w:rFonts w:hint="eastAsia" w:ascii="仿宋" w:hAnsi="仿宋" w:eastAsia="仿宋" w:cs="仿宋"/>
          <w:color w:val="auto"/>
          <w:szCs w:val="21"/>
          <w:highlight w:val="none"/>
        </w:rPr>
        <w:t>授权</w:t>
      </w:r>
      <w:r>
        <w:rPr>
          <w:rFonts w:hint="eastAsia" w:ascii="仿宋" w:hAnsi="仿宋" w:eastAsia="仿宋" w:cs="仿宋"/>
          <w:color w:val="auto"/>
          <w:highlight w:val="none"/>
        </w:rPr>
        <w:t>委托</w:t>
      </w:r>
      <w:r>
        <w:rPr>
          <w:rFonts w:hint="eastAsia" w:ascii="仿宋" w:hAnsi="仿宋" w:eastAsia="仿宋" w:cs="仿宋"/>
          <w:color w:val="auto"/>
          <w:szCs w:val="21"/>
          <w:highlight w:val="none"/>
        </w:rPr>
        <w:t>人</w:t>
      </w:r>
      <w:r>
        <w:rPr>
          <w:rFonts w:hint="eastAsia" w:ascii="仿宋" w:hAnsi="仿宋" w:eastAsia="仿宋" w:cs="仿宋"/>
          <w:color w:val="auto"/>
          <w:highlight w:val="none"/>
        </w:rPr>
        <w:t>(签字或盖章)：</w:t>
      </w:r>
      <w:r>
        <w:rPr>
          <w:rFonts w:hint="eastAsia" w:ascii="仿宋" w:hAnsi="仿宋" w:eastAsia="仿宋" w:cs="仿宋"/>
          <w:color w:val="auto"/>
          <w:highlight w:val="none"/>
          <w:u w:val="single"/>
        </w:rPr>
        <w:t xml:space="preserve">           </w:t>
      </w:r>
    </w:p>
    <w:p>
      <w:pPr>
        <w:spacing w:line="480" w:lineRule="auto"/>
        <w:rPr>
          <w:rFonts w:hint="eastAsia" w:ascii="仿宋" w:hAnsi="仿宋" w:eastAsia="仿宋" w:cs="仿宋"/>
          <w:color w:val="auto"/>
          <w:highlight w:val="none"/>
        </w:rPr>
      </w:pPr>
      <w:r>
        <w:rPr>
          <w:rFonts w:hint="eastAsia" w:ascii="仿宋" w:hAnsi="仿宋" w:eastAsia="仿宋" w:cs="仿宋"/>
          <w:color w:val="auto"/>
          <w:highlight w:val="none"/>
        </w:rPr>
        <w:t>日期：</w:t>
      </w:r>
      <w:r>
        <w:rPr>
          <w:rFonts w:hint="eastAsia" w:ascii="仿宋" w:hAnsi="仿宋" w:eastAsia="仿宋" w:cs="仿宋"/>
          <w:color w:val="auto"/>
          <w:highlight w:val="none"/>
          <w:u w:val="single"/>
        </w:rPr>
        <w:t xml:space="preserve">                </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br w:type="page"/>
      </w:r>
    </w:p>
    <w:p>
      <w:pPr>
        <w:pStyle w:val="3"/>
        <w:adjustRightInd w:val="0"/>
        <w:snapToGrid w:val="0"/>
        <w:spacing w:before="0" w:after="0" w:line="240" w:lineRule="auto"/>
        <w:jc w:val="left"/>
        <w:rPr>
          <w:rFonts w:hint="eastAsia" w:ascii="仿宋" w:hAnsi="仿宋" w:eastAsia="仿宋" w:cs="仿宋"/>
          <w:color w:val="auto"/>
          <w:szCs w:val="28"/>
          <w:highlight w:val="none"/>
        </w:rPr>
      </w:pPr>
      <w:r>
        <w:rPr>
          <w:rFonts w:hint="eastAsia" w:ascii="仿宋" w:hAnsi="仿宋" w:eastAsia="仿宋" w:cs="仿宋"/>
          <w:color w:val="auto"/>
          <w:szCs w:val="28"/>
          <w:highlight w:val="none"/>
        </w:rPr>
        <w:t>格式9</w:t>
      </w:r>
    </w:p>
    <w:p>
      <w:pPr>
        <w:spacing w:before="319" w:beforeLines="100" w:after="319" w:afterLines="100" w:line="360" w:lineRule="auto"/>
        <w:ind w:right="-21" w:rightChars="-10"/>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 xml:space="preserve"> </w:t>
      </w:r>
      <w:bookmarkStart w:id="104" w:name="_Toc16873_WPSOffice_Level2"/>
      <w:bookmarkStart w:id="105" w:name="_Toc30548_WPSOffice_Level2"/>
      <w:r>
        <w:rPr>
          <w:rFonts w:hint="eastAsia" w:ascii="仿宋" w:hAnsi="仿宋" w:eastAsia="仿宋" w:cs="仿宋"/>
          <w:b/>
          <w:color w:val="auto"/>
          <w:sz w:val="32"/>
          <w:szCs w:val="32"/>
          <w:highlight w:val="none"/>
        </w:rPr>
        <w:t>联合体协议书</w:t>
      </w:r>
      <w:bookmarkEnd w:id="104"/>
      <w:bookmarkEnd w:id="105"/>
    </w:p>
    <w:p>
      <w:pPr>
        <w:pStyle w:val="7"/>
        <w:spacing w:line="360" w:lineRule="auto"/>
        <w:rPr>
          <w:rFonts w:hint="eastAsia" w:ascii="仿宋" w:hAnsi="仿宋" w:eastAsia="仿宋" w:cs="仿宋"/>
          <w:color w:val="auto"/>
          <w:highlight w:val="none"/>
        </w:rPr>
      </w:pPr>
      <w:r>
        <w:rPr>
          <w:rFonts w:hint="eastAsia" w:ascii="仿宋" w:hAnsi="仿宋" w:eastAsia="仿宋" w:cs="仿宋"/>
          <w:color w:val="auto"/>
          <w:highlight w:val="none"/>
          <w:u w:val="single"/>
        </w:rPr>
        <w:t>(采购人或采购代理机构)</w:t>
      </w:r>
      <w:r>
        <w:rPr>
          <w:rFonts w:hint="eastAsia" w:ascii="仿宋" w:hAnsi="仿宋" w:eastAsia="仿宋" w:cs="仿宋"/>
          <w:color w:val="auto"/>
          <w:highlight w:val="none"/>
        </w:rPr>
        <w:t>：</w:t>
      </w:r>
    </w:p>
    <w:p>
      <w:pPr>
        <w:pStyle w:val="7"/>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经研究，我方决定自愿组成联合体共同参加</w:t>
      </w:r>
      <w:r>
        <w:rPr>
          <w:rFonts w:hint="eastAsia" w:ascii="仿宋" w:hAnsi="仿宋" w:eastAsia="仿宋" w:cs="仿宋"/>
          <w:color w:val="auto"/>
          <w:highlight w:val="none"/>
          <w:u w:val="single"/>
        </w:rPr>
        <w:t>(项目名称、项目编号、包号)</w:t>
      </w:r>
      <w:r>
        <w:rPr>
          <w:rFonts w:hint="eastAsia" w:ascii="仿宋" w:hAnsi="仿宋" w:eastAsia="仿宋" w:cs="仿宋"/>
          <w:color w:val="auto"/>
          <w:highlight w:val="none"/>
        </w:rPr>
        <w:t>项目的投标。现就联合体投标事宜订立如下协议：</w:t>
      </w:r>
    </w:p>
    <w:p>
      <w:pPr>
        <w:pStyle w:val="7"/>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一、联合体成员：</w:t>
      </w:r>
    </w:p>
    <w:p>
      <w:pPr>
        <w:pStyle w:val="7"/>
        <w:spacing w:line="360" w:lineRule="auto"/>
        <w:ind w:firstLine="420" w:firstLineChars="200"/>
        <w:rPr>
          <w:rFonts w:hint="eastAsia" w:ascii="仿宋" w:hAnsi="仿宋" w:eastAsia="仿宋" w:cs="仿宋"/>
          <w:color w:val="auto"/>
          <w:highlight w:val="none"/>
          <w:u w:val="single"/>
        </w:rPr>
      </w:pPr>
      <w:bookmarkStart w:id="106" w:name="_Toc23749_WPSOffice_Level2"/>
      <w:bookmarkStart w:id="107" w:name="_Toc15561_WPSOffice_Level2"/>
      <w:r>
        <w:rPr>
          <w:rFonts w:hint="eastAsia" w:ascii="仿宋" w:hAnsi="仿宋" w:eastAsia="仿宋" w:cs="仿宋"/>
          <w:color w:val="auto"/>
          <w:highlight w:val="none"/>
        </w:rPr>
        <w:t>1.</w:t>
      </w:r>
      <w:bookmarkEnd w:id="106"/>
      <w:bookmarkEnd w:id="107"/>
      <w:r>
        <w:rPr>
          <w:rFonts w:hint="eastAsia" w:ascii="仿宋" w:hAnsi="仿宋" w:eastAsia="仿宋" w:cs="仿宋"/>
          <w:color w:val="auto"/>
          <w:highlight w:val="none"/>
          <w:u w:val="single"/>
        </w:rPr>
        <w:t xml:space="preserve">                  </w:t>
      </w:r>
    </w:p>
    <w:p>
      <w:pPr>
        <w:pStyle w:val="7"/>
        <w:spacing w:line="360" w:lineRule="auto"/>
        <w:ind w:firstLine="420" w:firstLineChars="200"/>
        <w:rPr>
          <w:rFonts w:hint="eastAsia" w:ascii="仿宋" w:hAnsi="仿宋" w:eastAsia="仿宋" w:cs="仿宋"/>
          <w:color w:val="auto"/>
          <w:highlight w:val="none"/>
        </w:rPr>
      </w:pPr>
      <w:bookmarkStart w:id="108" w:name="_Toc22173_WPSOffice_Level2"/>
      <w:bookmarkStart w:id="109" w:name="_Toc405_WPSOffice_Level2"/>
      <w:r>
        <w:rPr>
          <w:rFonts w:hint="eastAsia" w:ascii="仿宋" w:hAnsi="仿宋" w:eastAsia="仿宋" w:cs="仿宋"/>
          <w:color w:val="auto"/>
          <w:highlight w:val="none"/>
        </w:rPr>
        <w:t>2.</w:t>
      </w:r>
      <w:bookmarkEnd w:id="108"/>
      <w:bookmarkEnd w:id="109"/>
      <w:r>
        <w:rPr>
          <w:rFonts w:hint="eastAsia" w:ascii="仿宋" w:hAnsi="仿宋" w:eastAsia="仿宋" w:cs="仿宋"/>
          <w:color w:val="auto"/>
          <w:highlight w:val="none"/>
          <w:u w:val="single"/>
        </w:rPr>
        <w:t xml:space="preserve">                  </w:t>
      </w:r>
    </w:p>
    <w:p>
      <w:pPr>
        <w:pStyle w:val="7"/>
        <w:spacing w:line="360" w:lineRule="auto"/>
        <w:ind w:firstLine="420" w:firstLineChars="200"/>
        <w:rPr>
          <w:rFonts w:hint="eastAsia" w:ascii="仿宋" w:hAnsi="仿宋" w:eastAsia="仿宋" w:cs="仿宋"/>
          <w:color w:val="auto"/>
          <w:highlight w:val="none"/>
        </w:rPr>
      </w:pPr>
      <w:bookmarkStart w:id="110" w:name="_Toc23482_WPSOffice_Level2"/>
      <w:bookmarkStart w:id="111" w:name="_Toc7084_WPSOffice_Level2"/>
      <w:r>
        <w:rPr>
          <w:rFonts w:hint="eastAsia" w:ascii="仿宋" w:hAnsi="仿宋" w:eastAsia="仿宋" w:cs="仿宋"/>
          <w:color w:val="auto"/>
          <w:highlight w:val="none"/>
        </w:rPr>
        <w:t>3.</w:t>
      </w:r>
      <w:bookmarkEnd w:id="110"/>
      <w:bookmarkEnd w:id="111"/>
      <w:r>
        <w:rPr>
          <w:rFonts w:hint="eastAsia" w:ascii="仿宋" w:hAnsi="仿宋" w:eastAsia="仿宋" w:cs="仿宋"/>
          <w:color w:val="auto"/>
          <w:highlight w:val="none"/>
          <w:u w:val="single"/>
        </w:rPr>
        <w:t xml:space="preserve">                  </w:t>
      </w:r>
    </w:p>
    <w:p>
      <w:pPr>
        <w:pStyle w:val="7"/>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二、</w:t>
      </w:r>
      <w:r>
        <w:rPr>
          <w:rFonts w:hint="eastAsia" w:ascii="仿宋" w:hAnsi="仿宋" w:eastAsia="仿宋" w:cs="仿宋"/>
          <w:color w:val="auto"/>
          <w:highlight w:val="none"/>
          <w:u w:val="single"/>
        </w:rPr>
        <w:t>(某成员单位名称)</w:t>
      </w:r>
      <w:r>
        <w:rPr>
          <w:rFonts w:hint="eastAsia" w:ascii="仿宋" w:hAnsi="仿宋" w:eastAsia="仿宋" w:cs="仿宋"/>
          <w:color w:val="auto"/>
          <w:highlight w:val="none"/>
        </w:rPr>
        <w:t>为(联合体名称)牵头人。</w:t>
      </w:r>
    </w:p>
    <w:p>
      <w:pPr>
        <w:pStyle w:val="7"/>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三、联合体牵头人合法代表联合体各成员负责本项目投标文件编制活动，代表联合体提交和接收相关的资料、信息及指示，并处理与投标或成交有关的一切事务；联合体中标后，联合体牵头人负责合同订立和合同实施阶段的主办、组织和协调工作。</w:t>
      </w:r>
    </w:p>
    <w:p>
      <w:pPr>
        <w:pStyle w:val="7"/>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四、联合体将严格按照招标文件的各项要求，递交投标文件，参加投标，履行中标义务和中标后的合同，并向采购人承担连带责任。</w:t>
      </w:r>
    </w:p>
    <w:p>
      <w:pPr>
        <w:pStyle w:val="7"/>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五、联合体各成员单位内部的职责分工如下：</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。按照本条上述分工，联合体成员单位各自所承担的合同工作量比例如下：</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pStyle w:val="7"/>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六、本协议书自签署之日起生效，合同履行完毕后自动失效。</w:t>
      </w:r>
    </w:p>
    <w:p>
      <w:pPr>
        <w:pStyle w:val="7"/>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七、本协议书一式</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份，联合体成员和采购人各执</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份。</w:t>
      </w:r>
    </w:p>
    <w:p>
      <w:pPr>
        <w:pStyle w:val="7"/>
        <w:spacing w:line="360" w:lineRule="auto"/>
        <w:ind w:firstLine="420" w:firstLineChars="200"/>
        <w:rPr>
          <w:rFonts w:hint="eastAsia" w:ascii="仿宋" w:hAnsi="仿宋" w:eastAsia="仿宋" w:cs="仿宋"/>
          <w:color w:val="auto"/>
          <w:highlight w:val="none"/>
        </w:rPr>
      </w:pPr>
    </w:p>
    <w:p>
      <w:pPr>
        <w:pStyle w:val="7"/>
        <w:spacing w:line="360" w:lineRule="auto"/>
        <w:rPr>
          <w:rFonts w:hint="eastAsia" w:ascii="仿宋" w:hAnsi="仿宋" w:eastAsia="仿宋" w:cs="仿宋"/>
          <w:color w:val="auto"/>
          <w:highlight w:val="none"/>
          <w:u w:val="single"/>
        </w:rPr>
      </w:pPr>
      <w:r>
        <w:rPr>
          <w:rFonts w:hint="eastAsia" w:ascii="仿宋" w:hAnsi="仿宋" w:eastAsia="仿宋" w:cs="仿宋"/>
          <w:color w:val="auto"/>
          <w:highlight w:val="none"/>
        </w:rPr>
        <w:t>牵头人名称(加盖单位公章)：</w:t>
      </w:r>
      <w:r>
        <w:rPr>
          <w:rFonts w:hint="eastAsia" w:ascii="仿宋" w:hAnsi="仿宋" w:eastAsia="仿宋" w:cs="仿宋"/>
          <w:color w:val="auto"/>
          <w:highlight w:val="none"/>
          <w:u w:val="single"/>
        </w:rPr>
        <w:t xml:space="preserve">                            </w:t>
      </w:r>
    </w:p>
    <w:p>
      <w:pPr>
        <w:pStyle w:val="7"/>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法定代表人或其授权委托人(签字或盖章)：</w:t>
      </w:r>
      <w:r>
        <w:rPr>
          <w:rFonts w:hint="eastAsia" w:ascii="仿宋" w:hAnsi="仿宋" w:eastAsia="仿宋" w:cs="仿宋"/>
          <w:color w:val="auto"/>
          <w:highlight w:val="none"/>
          <w:u w:val="single"/>
        </w:rPr>
        <w:t xml:space="preserve">                  </w:t>
      </w:r>
    </w:p>
    <w:p>
      <w:pPr>
        <w:pStyle w:val="7"/>
        <w:spacing w:line="360" w:lineRule="auto"/>
        <w:ind w:firstLine="420" w:firstLineChars="200"/>
        <w:rPr>
          <w:rFonts w:hint="eastAsia" w:ascii="仿宋" w:hAnsi="仿宋" w:eastAsia="仿宋" w:cs="仿宋"/>
          <w:color w:val="auto"/>
          <w:highlight w:val="none"/>
        </w:rPr>
      </w:pPr>
    </w:p>
    <w:p>
      <w:pPr>
        <w:pStyle w:val="7"/>
        <w:spacing w:line="360" w:lineRule="auto"/>
        <w:rPr>
          <w:rFonts w:hint="eastAsia" w:ascii="仿宋" w:hAnsi="仿宋" w:eastAsia="仿宋" w:cs="仿宋"/>
          <w:color w:val="auto"/>
          <w:highlight w:val="none"/>
          <w:u w:val="single"/>
        </w:rPr>
      </w:pPr>
      <w:r>
        <w:rPr>
          <w:rFonts w:hint="eastAsia" w:ascii="仿宋" w:hAnsi="仿宋" w:eastAsia="仿宋" w:cs="仿宋"/>
          <w:color w:val="auto"/>
          <w:highlight w:val="none"/>
        </w:rPr>
        <w:t>成员名称(加盖单位公章)：</w:t>
      </w:r>
      <w:r>
        <w:rPr>
          <w:rFonts w:hint="eastAsia" w:ascii="仿宋" w:hAnsi="仿宋" w:eastAsia="仿宋" w:cs="仿宋"/>
          <w:color w:val="auto"/>
          <w:highlight w:val="none"/>
          <w:u w:val="single"/>
        </w:rPr>
        <w:t xml:space="preserve">                              </w:t>
      </w:r>
    </w:p>
    <w:p>
      <w:pPr>
        <w:pStyle w:val="7"/>
        <w:spacing w:line="360" w:lineRule="auto"/>
        <w:rPr>
          <w:rFonts w:hint="eastAsia" w:ascii="仿宋" w:hAnsi="仿宋" w:eastAsia="仿宋" w:cs="仿宋"/>
          <w:color w:val="auto"/>
          <w:highlight w:val="none"/>
          <w:u w:val="single"/>
        </w:rPr>
      </w:pPr>
      <w:r>
        <w:rPr>
          <w:rFonts w:hint="eastAsia" w:ascii="仿宋" w:hAnsi="仿宋" w:eastAsia="仿宋" w:cs="仿宋"/>
          <w:color w:val="auto"/>
          <w:highlight w:val="none"/>
        </w:rPr>
        <w:t>法定代表人或其授权委托人(签字或盖章)：</w:t>
      </w:r>
      <w:r>
        <w:rPr>
          <w:rFonts w:hint="eastAsia" w:ascii="仿宋" w:hAnsi="仿宋" w:eastAsia="仿宋" w:cs="仿宋"/>
          <w:color w:val="auto"/>
          <w:highlight w:val="none"/>
          <w:u w:val="single"/>
        </w:rPr>
        <w:t xml:space="preserve">                  </w:t>
      </w:r>
    </w:p>
    <w:p>
      <w:pPr>
        <w:spacing w:line="360" w:lineRule="exact"/>
        <w:ind w:right="1050" w:rightChars="5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日期：</w:t>
      </w:r>
      <w:r>
        <w:rPr>
          <w:rFonts w:hint="eastAsia" w:ascii="仿宋" w:hAnsi="仿宋" w:eastAsia="仿宋" w:cs="仿宋"/>
          <w:color w:val="auto"/>
          <w:highlight w:val="none"/>
          <w:u w:val="single"/>
        </w:rPr>
        <w:t xml:space="preserve">              </w:t>
      </w:r>
      <w:r>
        <w:rPr>
          <w:rFonts w:hint="eastAsia" w:ascii="仿宋" w:hAnsi="仿宋" w:eastAsia="仿宋" w:cs="仿宋"/>
          <w:color w:val="auto"/>
          <w:szCs w:val="21"/>
          <w:highlight w:val="none"/>
        </w:rPr>
        <w:t xml:space="preserve"> </w:t>
      </w:r>
    </w:p>
    <w:p>
      <w:pPr>
        <w:pStyle w:val="3"/>
        <w:adjustRightInd w:val="0"/>
        <w:snapToGrid w:val="0"/>
        <w:spacing w:before="0" w:after="0" w:line="240" w:lineRule="auto"/>
        <w:jc w:val="left"/>
        <w:rPr>
          <w:rFonts w:hint="eastAsia" w:ascii="仿宋" w:hAnsi="仿宋" w:eastAsia="仿宋" w:cs="仿宋"/>
          <w:color w:val="auto"/>
          <w:szCs w:val="28"/>
          <w:highlight w:val="none"/>
        </w:rPr>
      </w:pPr>
      <w:r>
        <w:rPr>
          <w:rFonts w:hint="eastAsia" w:ascii="仿宋" w:hAnsi="仿宋" w:eastAsia="仿宋" w:cs="仿宋"/>
          <w:color w:val="auto"/>
          <w:szCs w:val="28"/>
          <w:highlight w:val="none"/>
        </w:rPr>
        <w:t>格式10</w:t>
      </w:r>
    </w:p>
    <w:p>
      <w:pPr>
        <w:spacing w:before="319" w:beforeLines="100" w:after="319" w:afterLines="100" w:line="360" w:lineRule="auto"/>
        <w:ind w:right="-21" w:rightChars="-10"/>
        <w:jc w:val="center"/>
        <w:rPr>
          <w:rFonts w:hint="eastAsia" w:ascii="仿宋" w:hAnsi="仿宋" w:eastAsia="仿宋" w:cs="仿宋"/>
          <w:b/>
          <w:color w:val="auto"/>
          <w:sz w:val="32"/>
          <w:szCs w:val="32"/>
          <w:highlight w:val="none"/>
        </w:rPr>
      </w:pPr>
      <w:bookmarkStart w:id="112" w:name="_Toc24841_WPSOffice_Level2"/>
      <w:bookmarkStart w:id="113" w:name="_Toc14782_WPSOffice_Level2"/>
      <w:r>
        <w:rPr>
          <w:rFonts w:hint="eastAsia" w:ascii="仿宋" w:hAnsi="仿宋" w:eastAsia="仿宋" w:cs="仿宋"/>
          <w:b/>
          <w:color w:val="auto"/>
          <w:sz w:val="32"/>
          <w:szCs w:val="32"/>
          <w:highlight w:val="none"/>
        </w:rPr>
        <w:t>投标函</w:t>
      </w:r>
      <w:bookmarkEnd w:id="112"/>
      <w:bookmarkEnd w:id="113"/>
    </w:p>
    <w:p>
      <w:pPr>
        <w:adjustRightInd w:val="0"/>
        <w:snapToGrid w:val="0"/>
        <w:spacing w:line="360" w:lineRule="auto"/>
        <w:ind w:right="630" w:rightChars="3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 xml:space="preserve"> </w:t>
      </w:r>
      <w:r>
        <w:rPr>
          <w:rFonts w:hint="eastAsia" w:ascii="仿宋" w:hAnsi="仿宋" w:eastAsia="仿宋" w:cs="仿宋"/>
          <w:color w:val="auto"/>
          <w:szCs w:val="21"/>
          <w:highlight w:val="none"/>
          <w:u w:val="single"/>
        </w:rPr>
        <w:t>（采购人或采购代理机构）：</w:t>
      </w:r>
    </w:p>
    <w:p>
      <w:pPr>
        <w:adjustRightInd w:val="0"/>
        <w:snapToGrid w:val="0"/>
        <w:spacing w:line="360" w:lineRule="auto"/>
        <w:ind w:right="-21" w:rightChars="-1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根据贵方</w:t>
      </w:r>
      <w:r>
        <w:rPr>
          <w:rFonts w:hint="eastAsia" w:ascii="仿宋" w:hAnsi="仿宋" w:eastAsia="仿宋" w:cs="仿宋"/>
          <w:color w:val="auto"/>
          <w:szCs w:val="21"/>
          <w:highlight w:val="none"/>
          <w:u w:val="single"/>
        </w:rPr>
        <w:t>(项目名称)</w:t>
      </w:r>
      <w:r>
        <w:rPr>
          <w:rFonts w:hint="eastAsia" w:ascii="仿宋" w:hAnsi="仿宋" w:eastAsia="仿宋" w:cs="仿宋"/>
          <w:color w:val="auto"/>
          <w:szCs w:val="21"/>
          <w:highlight w:val="none"/>
        </w:rPr>
        <w:t>项目的招标公告</w:t>
      </w:r>
      <w:r>
        <w:rPr>
          <w:rFonts w:hint="eastAsia" w:ascii="仿宋" w:hAnsi="仿宋" w:eastAsia="仿宋" w:cs="仿宋"/>
          <w:color w:val="auto"/>
          <w:szCs w:val="21"/>
          <w:highlight w:val="none"/>
          <w:u w:val="single"/>
        </w:rPr>
        <w:t>(招标编号)</w:t>
      </w:r>
      <w:r>
        <w:rPr>
          <w:rFonts w:hint="eastAsia" w:ascii="仿宋" w:hAnsi="仿宋" w:eastAsia="仿宋" w:cs="仿宋"/>
          <w:color w:val="auto"/>
          <w:szCs w:val="21"/>
          <w:highlight w:val="none"/>
        </w:rPr>
        <w:t>,签字代表</w:t>
      </w:r>
      <w:r>
        <w:rPr>
          <w:rFonts w:hint="eastAsia" w:ascii="仿宋" w:hAnsi="仿宋" w:eastAsia="仿宋" w:cs="仿宋"/>
          <w:color w:val="auto"/>
          <w:szCs w:val="21"/>
          <w:highlight w:val="none"/>
          <w:u w:val="single"/>
        </w:rPr>
        <w:t>(姓名、职务)</w:t>
      </w:r>
      <w:r>
        <w:rPr>
          <w:rFonts w:hint="eastAsia" w:ascii="仿宋" w:hAnsi="仿宋" w:eastAsia="仿宋" w:cs="仿宋"/>
          <w:color w:val="auto"/>
          <w:szCs w:val="21"/>
          <w:highlight w:val="none"/>
        </w:rPr>
        <w:t>经正式授权并代表投标人</w:t>
      </w:r>
      <w:r>
        <w:rPr>
          <w:rFonts w:hint="eastAsia" w:ascii="仿宋" w:hAnsi="仿宋" w:eastAsia="仿宋" w:cs="仿宋"/>
          <w:color w:val="auto"/>
          <w:szCs w:val="21"/>
          <w:highlight w:val="none"/>
          <w:u w:val="single"/>
        </w:rPr>
        <w:t>（名称、地址）</w:t>
      </w:r>
      <w:r>
        <w:rPr>
          <w:rFonts w:hint="eastAsia" w:ascii="仿宋" w:hAnsi="仿宋" w:eastAsia="仿宋" w:cs="仿宋"/>
          <w:color w:val="auto"/>
          <w:szCs w:val="21"/>
          <w:highlight w:val="none"/>
        </w:rPr>
        <w:t>提交下述文件正本</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份、副本</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份及电子文档</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份，并以</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形式出具的金额为</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人民币元的投标保证金。</w:t>
      </w:r>
    </w:p>
    <w:p>
      <w:pPr>
        <w:adjustRightInd w:val="0"/>
        <w:snapToGrid w:val="0"/>
        <w:spacing w:line="360" w:lineRule="auto"/>
        <w:ind w:right="-21" w:rightChars="-10"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据此，签字代表宣布同意如下：</w:t>
      </w:r>
    </w:p>
    <w:p>
      <w:pPr>
        <w:numPr>
          <w:ilvl w:val="0"/>
          <w:numId w:val="3"/>
        </w:numPr>
        <w:adjustRightInd w:val="0"/>
        <w:snapToGrid w:val="0"/>
        <w:spacing w:line="360" w:lineRule="auto"/>
        <w:ind w:right="-21" w:rightChars="-10"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本项目投标总价详见开标一览表。</w:t>
      </w:r>
    </w:p>
    <w:p>
      <w:pPr>
        <w:numPr>
          <w:ilvl w:val="0"/>
          <w:numId w:val="3"/>
        </w:numPr>
        <w:adjustRightInd w:val="0"/>
        <w:snapToGrid w:val="0"/>
        <w:spacing w:line="360" w:lineRule="auto"/>
        <w:ind w:right="-21" w:rightChars="-10"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本投标有效期为自递交投标文件截止之日起</w:t>
      </w:r>
      <w:r>
        <w:rPr>
          <w:rFonts w:hint="eastAsia" w:ascii="仿宋" w:hAnsi="仿宋" w:eastAsia="仿宋" w:cs="仿宋"/>
          <w:color w:val="auto"/>
          <w:szCs w:val="21"/>
          <w:highlight w:val="none"/>
          <w:u w:val="single"/>
        </w:rPr>
        <w:t>90</w:t>
      </w:r>
      <w:r>
        <w:rPr>
          <w:rFonts w:hint="eastAsia" w:ascii="仿宋" w:hAnsi="仿宋" w:eastAsia="仿宋" w:cs="仿宋"/>
          <w:color w:val="auto"/>
          <w:szCs w:val="21"/>
          <w:highlight w:val="none"/>
        </w:rPr>
        <w:t>日历日。</w:t>
      </w:r>
    </w:p>
    <w:p>
      <w:pPr>
        <w:adjustRightInd w:val="0"/>
        <w:snapToGrid w:val="0"/>
        <w:spacing w:line="360" w:lineRule="auto"/>
        <w:ind w:right="-21" w:rightChars="-10"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（3）已详细审查全部招标文件，包括所有补充通知（如果有的话）。</w:t>
      </w:r>
    </w:p>
    <w:p>
      <w:pPr>
        <w:adjustRightInd w:val="0"/>
        <w:snapToGrid w:val="0"/>
        <w:spacing w:line="360" w:lineRule="auto"/>
        <w:ind w:right="-21" w:rightChars="-10"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（4）在规定的开标时间后，遵守招标文件中有关保证金的规定。</w:t>
      </w:r>
    </w:p>
    <w:p>
      <w:pPr>
        <w:adjustRightInd w:val="0"/>
        <w:snapToGrid w:val="0"/>
        <w:spacing w:line="360" w:lineRule="auto"/>
        <w:ind w:right="-21" w:rightChars="-10"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（5）我方不是为本项目提供整体设计、规范编制或者项目管理、监理、检测等服务的供应商，我方不是采购代理机构的附属机构。</w:t>
      </w:r>
    </w:p>
    <w:p>
      <w:pPr>
        <w:adjustRightInd w:val="0"/>
        <w:snapToGrid w:val="0"/>
        <w:spacing w:line="360" w:lineRule="auto"/>
        <w:ind w:right="-21" w:rightChars="-10"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（6）在领取中标通知书的同时按招标文件规定的形式，向采购代理机构一次性支付采购代理服务费（适用于中标人支付采购代理服务费情形）。</w:t>
      </w:r>
    </w:p>
    <w:p>
      <w:pPr>
        <w:adjustRightInd w:val="0"/>
        <w:snapToGrid w:val="0"/>
        <w:spacing w:line="360" w:lineRule="auto"/>
        <w:ind w:right="-21" w:rightChars="-10"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（7）按照贵方可能要求，提供与其投标有关的一切数据或资料，完全理解贵方不一定接受最低价的投标或收到的任何投标。</w:t>
      </w:r>
    </w:p>
    <w:p>
      <w:pPr>
        <w:adjustRightInd w:val="0"/>
        <w:snapToGrid w:val="0"/>
        <w:spacing w:line="360" w:lineRule="auto"/>
        <w:ind w:right="-21" w:rightChars="-10"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（8）按照招标文件的规定履行合同责任和义务。</w:t>
      </w:r>
    </w:p>
    <w:p>
      <w:pPr>
        <w:adjustRightInd w:val="0"/>
        <w:snapToGrid w:val="0"/>
        <w:spacing w:line="360" w:lineRule="auto"/>
        <w:ind w:right="-21" w:rightChars="-10"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（9）我方承诺投标文件中的证明材料真实、合法、有效。</w:t>
      </w:r>
    </w:p>
    <w:p>
      <w:pPr>
        <w:adjustRightInd w:val="0"/>
        <w:snapToGrid w:val="0"/>
        <w:spacing w:line="360" w:lineRule="auto"/>
        <w:ind w:right="-21" w:rightChars="-10"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其他事项：</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adjustRightInd w:val="0"/>
        <w:snapToGrid w:val="0"/>
        <w:spacing w:line="360" w:lineRule="auto"/>
        <w:ind w:right="-21" w:rightChars="-10"/>
        <w:rPr>
          <w:rFonts w:hint="eastAsia" w:ascii="仿宋" w:hAnsi="仿宋" w:eastAsia="仿宋" w:cs="仿宋"/>
          <w:color w:val="auto"/>
          <w:szCs w:val="21"/>
          <w:highlight w:val="none"/>
        </w:rPr>
      </w:pPr>
    </w:p>
    <w:p>
      <w:pPr>
        <w:adjustRightInd w:val="0"/>
        <w:snapToGrid w:val="0"/>
        <w:spacing w:line="360" w:lineRule="auto"/>
        <w:ind w:right="-21" w:rightChars="-10"/>
        <w:rPr>
          <w:rFonts w:hint="eastAsia" w:ascii="仿宋" w:hAnsi="仿宋" w:eastAsia="仿宋" w:cs="仿宋"/>
          <w:color w:val="auto"/>
          <w:szCs w:val="21"/>
          <w:highlight w:val="none"/>
        </w:rPr>
      </w:pPr>
    </w:p>
    <w:p>
      <w:pPr>
        <w:adjustRightInd w:val="0"/>
        <w:snapToGrid w:val="0"/>
        <w:spacing w:line="360" w:lineRule="auto"/>
        <w:ind w:right="-21" w:rightChars="-10"/>
        <w:rPr>
          <w:rFonts w:hint="eastAsia" w:ascii="仿宋" w:hAnsi="仿宋" w:eastAsia="仿宋" w:cs="仿宋"/>
          <w:color w:val="auto"/>
          <w:szCs w:val="21"/>
          <w:highlight w:val="none"/>
        </w:rPr>
      </w:pPr>
    </w:p>
    <w:p>
      <w:pPr>
        <w:adjustRightInd w:val="0"/>
        <w:snapToGrid w:val="0"/>
        <w:spacing w:line="360" w:lineRule="auto"/>
        <w:ind w:right="-21" w:rightChars="-10"/>
        <w:rPr>
          <w:rFonts w:hint="eastAsia" w:ascii="仿宋" w:hAnsi="仿宋" w:eastAsia="仿宋" w:cs="仿宋"/>
          <w:color w:val="auto"/>
          <w:szCs w:val="21"/>
          <w:highlight w:val="none"/>
        </w:rPr>
      </w:pPr>
      <w:r>
        <w:rPr>
          <w:rFonts w:hint="eastAsia" w:ascii="仿宋" w:hAnsi="仿宋" w:eastAsia="仿宋" w:cs="仿宋"/>
          <w:color w:val="auto"/>
          <w:szCs w:val="21"/>
          <w:highlight w:val="none"/>
        </w:rPr>
        <w:t>与本项目有关的一切往来通讯请寄</w:t>
      </w:r>
    </w:p>
    <w:p>
      <w:pPr>
        <w:adjustRightInd w:val="0"/>
        <w:snapToGrid w:val="0"/>
        <w:spacing w:line="360" w:lineRule="auto"/>
        <w:ind w:right="-21" w:rightChars="-1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地址：</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传真：</w:t>
      </w:r>
      <w:r>
        <w:rPr>
          <w:rFonts w:hint="eastAsia" w:ascii="仿宋" w:hAnsi="仿宋" w:eastAsia="仿宋" w:cs="仿宋"/>
          <w:color w:val="auto"/>
          <w:szCs w:val="21"/>
          <w:highlight w:val="none"/>
          <w:u w:val="single"/>
        </w:rPr>
        <w:t xml:space="preserve">                         </w:t>
      </w:r>
    </w:p>
    <w:p>
      <w:pPr>
        <w:adjustRightInd w:val="0"/>
        <w:snapToGrid w:val="0"/>
        <w:spacing w:line="360" w:lineRule="auto"/>
        <w:ind w:right="-21" w:rightChars="-1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电话：</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电子邮件：</w:t>
      </w:r>
      <w:r>
        <w:rPr>
          <w:rFonts w:hint="eastAsia" w:ascii="仿宋" w:hAnsi="仿宋" w:eastAsia="仿宋" w:cs="仿宋"/>
          <w:color w:val="auto"/>
          <w:szCs w:val="21"/>
          <w:highlight w:val="none"/>
          <w:u w:val="single"/>
        </w:rPr>
        <w:t xml:space="preserve">                     </w:t>
      </w:r>
    </w:p>
    <w:p>
      <w:pPr>
        <w:adjustRightInd w:val="0"/>
        <w:snapToGrid w:val="0"/>
        <w:spacing w:line="360" w:lineRule="auto"/>
        <w:ind w:right="-21" w:rightChars="-1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法定代表人（非法人组织负责人）或其授权委托人（签字或盖章）：</w:t>
      </w:r>
      <w:r>
        <w:rPr>
          <w:rFonts w:hint="eastAsia" w:ascii="仿宋" w:hAnsi="仿宋" w:eastAsia="仿宋" w:cs="仿宋"/>
          <w:color w:val="auto"/>
          <w:szCs w:val="21"/>
          <w:highlight w:val="none"/>
          <w:u w:val="single"/>
        </w:rPr>
        <w:t xml:space="preserve">       </w:t>
      </w:r>
    </w:p>
    <w:p>
      <w:pPr>
        <w:adjustRightInd w:val="0"/>
        <w:snapToGrid w:val="0"/>
        <w:spacing w:line="360" w:lineRule="auto"/>
        <w:ind w:right="-21" w:rightChars="-10"/>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投标人名称（加盖单位公章）：</w:t>
      </w:r>
      <w:r>
        <w:rPr>
          <w:rFonts w:hint="eastAsia" w:ascii="仿宋" w:hAnsi="仿宋" w:eastAsia="仿宋" w:cs="仿宋"/>
          <w:color w:val="auto"/>
          <w:szCs w:val="21"/>
          <w:highlight w:val="none"/>
          <w:u w:val="single"/>
        </w:rPr>
        <w:t xml:space="preserve">         </w:t>
      </w:r>
    </w:p>
    <w:p>
      <w:pPr>
        <w:adjustRightInd w:val="0"/>
        <w:snapToGrid w:val="0"/>
        <w:spacing w:line="360" w:lineRule="auto"/>
        <w:ind w:right="-21" w:rightChars="-10"/>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投标人开户银行（全称）：</w:t>
      </w:r>
      <w:r>
        <w:rPr>
          <w:rFonts w:hint="eastAsia" w:ascii="仿宋" w:hAnsi="仿宋" w:eastAsia="仿宋" w:cs="仿宋"/>
          <w:color w:val="auto"/>
          <w:szCs w:val="21"/>
          <w:highlight w:val="none"/>
          <w:u w:val="single"/>
        </w:rPr>
        <w:t xml:space="preserve">             </w:t>
      </w:r>
    </w:p>
    <w:p>
      <w:pPr>
        <w:adjustRightInd w:val="0"/>
        <w:snapToGrid w:val="0"/>
        <w:spacing w:line="360" w:lineRule="auto"/>
        <w:ind w:right="-21" w:rightChars="-10"/>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投标人银行账号：</w:t>
      </w:r>
      <w:r>
        <w:rPr>
          <w:rFonts w:hint="eastAsia" w:ascii="仿宋" w:hAnsi="仿宋" w:eastAsia="仿宋" w:cs="仿宋"/>
          <w:color w:val="auto"/>
          <w:szCs w:val="21"/>
          <w:highlight w:val="none"/>
          <w:u w:val="single"/>
        </w:rPr>
        <w:t xml:space="preserve">                     </w:t>
      </w:r>
    </w:p>
    <w:p>
      <w:pPr>
        <w:adjustRightInd w:val="0"/>
        <w:snapToGrid w:val="0"/>
        <w:spacing w:line="360" w:lineRule="auto"/>
        <w:ind w:right="1050" w:rightChars="500"/>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日    期：</w:t>
      </w:r>
      <w:r>
        <w:rPr>
          <w:rFonts w:hint="eastAsia" w:ascii="仿宋" w:hAnsi="仿宋" w:eastAsia="仿宋" w:cs="仿宋"/>
          <w:color w:val="auto"/>
          <w:szCs w:val="21"/>
          <w:highlight w:val="none"/>
          <w:u w:val="single"/>
        </w:rPr>
        <w:t xml:space="preserve">                           </w:t>
      </w:r>
    </w:p>
    <w:p>
      <w:pPr>
        <w:adjustRightInd w:val="0"/>
        <w:snapToGrid w:val="0"/>
        <w:spacing w:line="360" w:lineRule="auto"/>
        <w:ind w:right="1050" w:rightChars="500"/>
        <w:jc w:val="left"/>
        <w:rPr>
          <w:rFonts w:hint="eastAsia" w:ascii="仿宋" w:hAnsi="仿宋" w:eastAsia="仿宋" w:cs="仿宋"/>
          <w:color w:val="auto"/>
          <w:szCs w:val="21"/>
          <w:highlight w:val="none"/>
          <w:u w:val="single"/>
        </w:rPr>
      </w:pPr>
    </w:p>
    <w:p>
      <w:pPr>
        <w:pStyle w:val="3"/>
        <w:adjustRightInd w:val="0"/>
        <w:snapToGrid w:val="0"/>
        <w:spacing w:before="0" w:after="0" w:line="240" w:lineRule="auto"/>
        <w:jc w:val="left"/>
        <w:rPr>
          <w:rFonts w:hint="eastAsia" w:ascii="仿宋" w:hAnsi="仿宋" w:eastAsia="仿宋" w:cs="仿宋"/>
          <w:color w:val="auto"/>
          <w:szCs w:val="28"/>
          <w:highlight w:val="none"/>
        </w:rPr>
      </w:pPr>
      <w:r>
        <w:rPr>
          <w:rFonts w:hint="eastAsia" w:ascii="仿宋" w:hAnsi="仿宋" w:eastAsia="仿宋" w:cs="仿宋"/>
          <w:color w:val="auto"/>
          <w:szCs w:val="28"/>
          <w:highlight w:val="none"/>
        </w:rPr>
        <w:t>格式11</w:t>
      </w:r>
    </w:p>
    <w:p>
      <w:pPr>
        <w:adjustRightInd w:val="0"/>
        <w:snapToGrid w:val="0"/>
        <w:spacing w:before="319" w:beforeLines="100" w:after="319" w:afterLines="100" w:line="360" w:lineRule="auto"/>
        <w:ind w:right="105" w:rightChars="50"/>
        <w:jc w:val="center"/>
        <w:rPr>
          <w:rFonts w:hint="eastAsia" w:ascii="仿宋" w:hAnsi="仿宋" w:eastAsia="仿宋" w:cs="仿宋"/>
          <w:b/>
          <w:bCs/>
          <w:color w:val="auto"/>
          <w:sz w:val="32"/>
          <w:szCs w:val="32"/>
          <w:highlight w:val="none"/>
        </w:rPr>
      </w:pPr>
      <w:bookmarkStart w:id="114" w:name="_Toc2673_WPSOffice_Level2"/>
      <w:bookmarkStart w:id="115" w:name="_Toc11267_WPSOffice_Level2"/>
      <w:r>
        <w:rPr>
          <w:rFonts w:hint="eastAsia" w:ascii="仿宋" w:hAnsi="仿宋" w:eastAsia="仿宋" w:cs="仿宋"/>
          <w:b/>
          <w:bCs/>
          <w:color w:val="auto"/>
          <w:sz w:val="32"/>
          <w:szCs w:val="32"/>
          <w:highlight w:val="none"/>
        </w:rPr>
        <w:t>开标一览表</w:t>
      </w:r>
      <w:bookmarkEnd w:id="114"/>
      <w:bookmarkEnd w:id="115"/>
    </w:p>
    <w:p>
      <w:pPr>
        <w:adjustRightInd w:val="0"/>
        <w:snapToGrid w:val="0"/>
        <w:spacing w:line="360" w:lineRule="auto"/>
        <w:ind w:right="105" w:rightChars="50"/>
        <w:jc w:val="left"/>
        <w:rPr>
          <w:rFonts w:hint="eastAsia" w:ascii="仿宋" w:hAnsi="仿宋" w:eastAsia="仿宋" w:cs="仿宋"/>
          <w:b/>
          <w:bCs/>
          <w:color w:val="auto"/>
          <w:szCs w:val="21"/>
          <w:highlight w:val="none"/>
          <w:lang w:val="en-US" w:eastAsia="zh-CN"/>
        </w:rPr>
      </w:pPr>
      <w:r>
        <w:rPr>
          <w:rFonts w:hint="eastAsia" w:ascii="仿宋" w:hAnsi="仿宋" w:eastAsia="仿宋" w:cs="仿宋"/>
          <w:b/>
          <w:bCs/>
          <w:color w:val="auto"/>
          <w:szCs w:val="21"/>
          <w:highlight w:val="none"/>
        </w:rPr>
        <w:t>包号：                                                      报价单位：</w:t>
      </w:r>
      <w:r>
        <w:rPr>
          <w:rFonts w:hint="eastAsia" w:ascii="仿宋" w:hAnsi="仿宋" w:cs="仿宋"/>
          <w:b/>
          <w:bCs/>
          <w:color w:val="auto"/>
          <w:szCs w:val="21"/>
          <w:highlight w:val="none"/>
          <w:lang w:val="en-US" w:eastAsia="zh-CN"/>
        </w:rPr>
        <w:t>元</w:t>
      </w:r>
    </w:p>
    <w:tbl>
      <w:tblPr>
        <w:tblStyle w:val="14"/>
        <w:tblW w:w="8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2373"/>
        <w:gridCol w:w="1309"/>
        <w:gridCol w:w="1109"/>
        <w:gridCol w:w="1252"/>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549" w:type="dxa"/>
            <w:noWrap w:val="0"/>
            <w:vAlign w:val="center"/>
          </w:tcPr>
          <w:p>
            <w:pPr>
              <w:adjustRightInd w:val="0"/>
              <w:snapToGrid w:val="0"/>
              <w:ind w:left="-54" w:leftChars="-26" w:right="-46" w:rightChars="-22"/>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货物名称</w:t>
            </w:r>
          </w:p>
        </w:tc>
        <w:tc>
          <w:tcPr>
            <w:tcW w:w="2373" w:type="dxa"/>
            <w:noWrap w:val="0"/>
            <w:vAlign w:val="center"/>
          </w:tcPr>
          <w:p>
            <w:pPr>
              <w:adjustRightInd w:val="0"/>
              <w:snapToGrid w:val="0"/>
              <w:ind w:left="-54" w:leftChars="-26" w:right="-46" w:rightChars="-22"/>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投标总价</w:t>
            </w:r>
          </w:p>
        </w:tc>
        <w:tc>
          <w:tcPr>
            <w:tcW w:w="1309" w:type="dxa"/>
            <w:noWrap w:val="0"/>
            <w:vAlign w:val="center"/>
          </w:tcPr>
          <w:p>
            <w:pPr>
              <w:adjustRightInd w:val="0"/>
              <w:snapToGrid w:val="0"/>
              <w:ind w:left="-54" w:leftChars="-26" w:right="-46" w:rightChars="-22"/>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投标保证金</w:t>
            </w:r>
          </w:p>
        </w:tc>
        <w:tc>
          <w:tcPr>
            <w:tcW w:w="1109" w:type="dxa"/>
            <w:noWrap w:val="0"/>
            <w:vAlign w:val="center"/>
          </w:tcPr>
          <w:p>
            <w:pPr>
              <w:adjustRightInd w:val="0"/>
              <w:snapToGrid w:val="0"/>
              <w:ind w:left="-54" w:leftChars="-26" w:right="-46" w:rightChars="-22"/>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交货时间</w:t>
            </w:r>
          </w:p>
        </w:tc>
        <w:tc>
          <w:tcPr>
            <w:tcW w:w="1252" w:type="dxa"/>
            <w:noWrap w:val="0"/>
            <w:vAlign w:val="center"/>
          </w:tcPr>
          <w:p>
            <w:pPr>
              <w:adjustRightInd w:val="0"/>
              <w:snapToGrid w:val="0"/>
              <w:ind w:left="-54" w:leftChars="-26" w:right="-46" w:rightChars="-22"/>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交货地点</w:t>
            </w:r>
          </w:p>
        </w:tc>
        <w:tc>
          <w:tcPr>
            <w:tcW w:w="951" w:type="dxa"/>
            <w:noWrap w:val="0"/>
            <w:vAlign w:val="center"/>
          </w:tcPr>
          <w:p>
            <w:pPr>
              <w:adjustRightInd w:val="0"/>
              <w:snapToGrid w:val="0"/>
              <w:ind w:left="-54" w:leftChars="-26" w:right="-46" w:rightChars="-22"/>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549" w:type="dxa"/>
            <w:noWrap w:val="0"/>
            <w:vAlign w:val="center"/>
          </w:tcPr>
          <w:p>
            <w:pPr>
              <w:adjustRightInd w:val="0"/>
              <w:snapToGrid w:val="0"/>
              <w:ind w:left="-54" w:leftChars="-26" w:right="-46" w:rightChars="-22"/>
              <w:jc w:val="center"/>
              <w:rPr>
                <w:rFonts w:hint="eastAsia" w:ascii="仿宋" w:hAnsi="仿宋" w:eastAsia="仿宋" w:cs="仿宋"/>
                <w:color w:val="auto"/>
                <w:szCs w:val="21"/>
                <w:highlight w:val="none"/>
              </w:rPr>
            </w:pPr>
          </w:p>
        </w:tc>
        <w:tc>
          <w:tcPr>
            <w:tcW w:w="2373" w:type="dxa"/>
            <w:noWrap w:val="0"/>
            <w:vAlign w:val="center"/>
          </w:tcPr>
          <w:p>
            <w:pPr>
              <w:adjustRightInd w:val="0"/>
              <w:snapToGrid w:val="0"/>
              <w:ind w:left="-54" w:leftChars="-26" w:right="-46" w:rightChars="-22"/>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小写：</w:t>
            </w:r>
          </w:p>
          <w:p>
            <w:pPr>
              <w:adjustRightInd w:val="0"/>
              <w:snapToGrid w:val="0"/>
              <w:ind w:left="-54" w:leftChars="-26" w:right="-46" w:rightChars="-22"/>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大写：</w:t>
            </w:r>
          </w:p>
        </w:tc>
        <w:tc>
          <w:tcPr>
            <w:tcW w:w="1309" w:type="dxa"/>
            <w:noWrap w:val="0"/>
            <w:vAlign w:val="center"/>
          </w:tcPr>
          <w:p>
            <w:pPr>
              <w:adjustRightInd w:val="0"/>
              <w:snapToGrid w:val="0"/>
              <w:ind w:left="-54" w:leftChars="-26" w:right="-46" w:rightChars="-22"/>
              <w:jc w:val="center"/>
              <w:rPr>
                <w:rFonts w:hint="eastAsia" w:ascii="仿宋" w:hAnsi="仿宋" w:eastAsia="仿宋" w:cs="仿宋"/>
                <w:color w:val="auto"/>
                <w:szCs w:val="21"/>
                <w:highlight w:val="none"/>
              </w:rPr>
            </w:pPr>
          </w:p>
        </w:tc>
        <w:tc>
          <w:tcPr>
            <w:tcW w:w="1109" w:type="dxa"/>
            <w:noWrap w:val="0"/>
            <w:vAlign w:val="center"/>
          </w:tcPr>
          <w:p>
            <w:pPr>
              <w:adjustRightInd w:val="0"/>
              <w:snapToGrid w:val="0"/>
              <w:ind w:left="-54" w:leftChars="-26" w:right="-46" w:rightChars="-22"/>
              <w:jc w:val="center"/>
              <w:rPr>
                <w:rFonts w:hint="eastAsia" w:ascii="仿宋" w:hAnsi="仿宋" w:eastAsia="仿宋" w:cs="仿宋"/>
                <w:color w:val="auto"/>
                <w:szCs w:val="21"/>
                <w:highlight w:val="none"/>
              </w:rPr>
            </w:pPr>
          </w:p>
        </w:tc>
        <w:tc>
          <w:tcPr>
            <w:tcW w:w="1252" w:type="dxa"/>
            <w:noWrap w:val="0"/>
            <w:vAlign w:val="center"/>
          </w:tcPr>
          <w:p>
            <w:pPr>
              <w:adjustRightInd w:val="0"/>
              <w:snapToGrid w:val="0"/>
              <w:ind w:left="-54" w:leftChars="-26" w:right="-46" w:rightChars="-22"/>
              <w:jc w:val="center"/>
              <w:rPr>
                <w:rFonts w:hint="eastAsia" w:ascii="仿宋" w:hAnsi="仿宋" w:eastAsia="仿宋" w:cs="仿宋"/>
                <w:color w:val="auto"/>
                <w:szCs w:val="21"/>
                <w:highlight w:val="none"/>
              </w:rPr>
            </w:pPr>
          </w:p>
        </w:tc>
        <w:tc>
          <w:tcPr>
            <w:tcW w:w="951" w:type="dxa"/>
            <w:noWrap w:val="0"/>
            <w:vAlign w:val="center"/>
          </w:tcPr>
          <w:p>
            <w:pPr>
              <w:adjustRightInd w:val="0"/>
              <w:snapToGrid w:val="0"/>
              <w:ind w:left="-54" w:leftChars="-26" w:right="-46" w:rightChars="-22"/>
              <w:jc w:val="center"/>
              <w:rPr>
                <w:rFonts w:hint="eastAsia" w:ascii="仿宋" w:hAnsi="仿宋" w:eastAsia="仿宋" w:cs="仿宋"/>
                <w:color w:val="auto"/>
                <w:szCs w:val="21"/>
                <w:highlight w:val="none"/>
              </w:rPr>
            </w:pPr>
          </w:p>
        </w:tc>
      </w:tr>
    </w:tbl>
    <w:p>
      <w:pPr>
        <w:adjustRightInd w:val="0"/>
        <w:snapToGrid w:val="0"/>
        <w:spacing w:line="360" w:lineRule="auto"/>
        <w:ind w:right="105" w:rightChars="50" w:firstLine="420" w:firstLineChars="200"/>
        <w:jc w:val="left"/>
        <w:rPr>
          <w:rFonts w:hint="eastAsia" w:ascii="仿宋" w:hAnsi="仿宋" w:eastAsia="仿宋" w:cs="仿宋"/>
          <w:color w:val="auto"/>
          <w:szCs w:val="21"/>
          <w:highlight w:val="none"/>
        </w:rPr>
      </w:pPr>
    </w:p>
    <w:p>
      <w:pPr>
        <w:adjustRightInd w:val="0"/>
        <w:snapToGrid w:val="0"/>
        <w:spacing w:line="360" w:lineRule="auto"/>
        <w:ind w:right="105" w:rightChars="50"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注：此表中，投标总价应和分项报价表的总价相一致。</w:t>
      </w:r>
    </w:p>
    <w:p>
      <w:pPr>
        <w:adjustRightInd w:val="0"/>
        <w:snapToGrid w:val="0"/>
        <w:spacing w:line="360" w:lineRule="auto"/>
        <w:ind w:right="105" w:rightChars="50" w:firstLine="476" w:firstLineChars="227"/>
        <w:jc w:val="left"/>
        <w:rPr>
          <w:rFonts w:hint="eastAsia" w:ascii="仿宋" w:hAnsi="仿宋" w:eastAsia="仿宋" w:cs="仿宋"/>
          <w:color w:val="auto"/>
          <w:szCs w:val="21"/>
          <w:highlight w:val="none"/>
        </w:rPr>
      </w:pPr>
    </w:p>
    <w:p>
      <w:pPr>
        <w:adjustRightInd w:val="0"/>
        <w:snapToGrid w:val="0"/>
        <w:spacing w:line="360" w:lineRule="auto"/>
        <w:ind w:right="105" w:rightChars="50" w:firstLine="476" w:firstLineChars="227"/>
        <w:jc w:val="left"/>
        <w:rPr>
          <w:rFonts w:hint="eastAsia" w:ascii="仿宋" w:hAnsi="仿宋" w:eastAsia="仿宋" w:cs="仿宋"/>
          <w:color w:val="auto"/>
          <w:szCs w:val="21"/>
          <w:highlight w:val="none"/>
        </w:rPr>
      </w:pPr>
    </w:p>
    <w:p>
      <w:pPr>
        <w:adjustRightInd w:val="0"/>
        <w:snapToGrid w:val="0"/>
        <w:spacing w:line="360" w:lineRule="auto"/>
        <w:ind w:right="105" w:rightChars="50" w:firstLine="476" w:firstLineChars="227"/>
        <w:jc w:val="left"/>
        <w:rPr>
          <w:rFonts w:hint="eastAsia" w:ascii="仿宋" w:hAnsi="仿宋" w:eastAsia="仿宋" w:cs="仿宋"/>
          <w:color w:val="auto"/>
          <w:szCs w:val="21"/>
          <w:highlight w:val="none"/>
        </w:rPr>
      </w:pPr>
    </w:p>
    <w:p>
      <w:pPr>
        <w:adjustRightInd w:val="0"/>
        <w:snapToGrid w:val="0"/>
        <w:spacing w:line="360" w:lineRule="auto"/>
        <w:ind w:right="105" w:rightChars="50" w:firstLine="476" w:firstLineChars="227"/>
        <w:jc w:val="left"/>
        <w:rPr>
          <w:rFonts w:hint="eastAsia" w:ascii="仿宋" w:hAnsi="仿宋" w:eastAsia="仿宋" w:cs="仿宋"/>
          <w:color w:val="auto"/>
          <w:szCs w:val="21"/>
          <w:highlight w:val="none"/>
        </w:rPr>
      </w:pPr>
    </w:p>
    <w:p>
      <w:pPr>
        <w:adjustRightInd w:val="0"/>
        <w:snapToGrid w:val="0"/>
        <w:spacing w:line="360" w:lineRule="auto"/>
        <w:ind w:right="105" w:rightChars="50" w:firstLine="476" w:firstLineChars="227"/>
        <w:jc w:val="left"/>
        <w:rPr>
          <w:rFonts w:hint="eastAsia" w:ascii="仿宋" w:hAnsi="仿宋" w:eastAsia="仿宋" w:cs="仿宋"/>
          <w:color w:val="auto"/>
          <w:szCs w:val="21"/>
          <w:highlight w:val="none"/>
        </w:rPr>
      </w:pPr>
    </w:p>
    <w:p>
      <w:pPr>
        <w:spacing w:line="480" w:lineRule="auto"/>
        <w:rPr>
          <w:rFonts w:hint="eastAsia" w:ascii="仿宋" w:hAnsi="仿宋" w:eastAsia="仿宋" w:cs="仿宋"/>
          <w:color w:val="auto"/>
          <w:highlight w:val="none"/>
        </w:rPr>
      </w:pPr>
      <w:r>
        <w:rPr>
          <w:rFonts w:hint="eastAsia" w:ascii="仿宋" w:hAnsi="仿宋" w:eastAsia="仿宋" w:cs="仿宋"/>
          <w:color w:val="auto"/>
          <w:highlight w:val="none"/>
        </w:rPr>
        <w:t>投标人名称（加盖单位公章）：</w:t>
      </w:r>
      <w:r>
        <w:rPr>
          <w:rFonts w:hint="eastAsia" w:ascii="仿宋" w:hAnsi="仿宋" w:eastAsia="仿宋" w:cs="仿宋"/>
          <w:color w:val="auto"/>
          <w:highlight w:val="none"/>
          <w:u w:val="single"/>
        </w:rPr>
        <w:t xml:space="preserve">           </w:t>
      </w:r>
    </w:p>
    <w:p>
      <w:pPr>
        <w:spacing w:line="480" w:lineRule="auto"/>
        <w:rPr>
          <w:rFonts w:hint="eastAsia" w:ascii="仿宋" w:hAnsi="仿宋" w:eastAsia="仿宋" w:cs="仿宋"/>
          <w:color w:val="auto"/>
          <w:highlight w:val="none"/>
        </w:rPr>
      </w:pPr>
      <w:r>
        <w:rPr>
          <w:rFonts w:hint="eastAsia" w:ascii="仿宋" w:hAnsi="仿宋" w:eastAsia="仿宋" w:cs="仿宋"/>
          <w:color w:val="auto"/>
          <w:highlight w:val="none"/>
        </w:rPr>
        <w:t>法定代表人（或</w:t>
      </w:r>
      <w:r>
        <w:rPr>
          <w:rFonts w:hint="eastAsia" w:ascii="仿宋" w:hAnsi="仿宋" w:eastAsia="仿宋" w:cs="仿宋"/>
          <w:color w:val="auto"/>
          <w:szCs w:val="21"/>
          <w:highlight w:val="none"/>
        </w:rPr>
        <w:t>非法人组织负责人）或</w:t>
      </w:r>
      <w:r>
        <w:rPr>
          <w:rFonts w:hint="eastAsia" w:ascii="仿宋" w:hAnsi="仿宋" w:eastAsia="仿宋" w:cs="仿宋"/>
          <w:color w:val="auto"/>
          <w:highlight w:val="none"/>
        </w:rPr>
        <w:t>其</w:t>
      </w:r>
      <w:r>
        <w:rPr>
          <w:rFonts w:hint="eastAsia" w:ascii="仿宋" w:hAnsi="仿宋" w:eastAsia="仿宋" w:cs="仿宋"/>
          <w:color w:val="auto"/>
          <w:szCs w:val="21"/>
          <w:highlight w:val="none"/>
        </w:rPr>
        <w:t>授权</w:t>
      </w:r>
      <w:r>
        <w:rPr>
          <w:rFonts w:hint="eastAsia" w:ascii="仿宋" w:hAnsi="仿宋" w:eastAsia="仿宋" w:cs="仿宋"/>
          <w:color w:val="auto"/>
          <w:highlight w:val="none"/>
        </w:rPr>
        <w:t>委托</w:t>
      </w:r>
      <w:r>
        <w:rPr>
          <w:rFonts w:hint="eastAsia" w:ascii="仿宋" w:hAnsi="仿宋" w:eastAsia="仿宋" w:cs="仿宋"/>
          <w:color w:val="auto"/>
          <w:szCs w:val="21"/>
          <w:highlight w:val="none"/>
        </w:rPr>
        <w:t>人</w:t>
      </w:r>
      <w:r>
        <w:rPr>
          <w:rFonts w:hint="eastAsia" w:ascii="仿宋" w:hAnsi="仿宋" w:eastAsia="仿宋" w:cs="仿宋"/>
          <w:color w:val="auto"/>
          <w:highlight w:val="none"/>
        </w:rPr>
        <w:t>(签字或盖章)：</w:t>
      </w:r>
      <w:r>
        <w:rPr>
          <w:rFonts w:hint="eastAsia" w:ascii="仿宋" w:hAnsi="仿宋" w:eastAsia="仿宋" w:cs="仿宋"/>
          <w:color w:val="auto"/>
          <w:highlight w:val="none"/>
          <w:u w:val="single"/>
        </w:rPr>
        <w:t xml:space="preserve">           </w:t>
      </w:r>
    </w:p>
    <w:p>
      <w:pPr>
        <w:spacing w:line="480" w:lineRule="auto"/>
        <w:ind w:right="1050" w:rightChars="500"/>
        <w:jc w:val="left"/>
        <w:rPr>
          <w:rFonts w:hint="eastAsia" w:ascii="仿宋" w:hAnsi="仿宋" w:eastAsia="仿宋" w:cs="仿宋"/>
          <w:color w:val="auto"/>
          <w:szCs w:val="21"/>
          <w:highlight w:val="none"/>
          <w:u w:val="single"/>
        </w:rPr>
      </w:pPr>
      <w:r>
        <w:rPr>
          <w:rFonts w:hint="eastAsia" w:ascii="仿宋" w:hAnsi="仿宋" w:eastAsia="仿宋" w:cs="仿宋"/>
          <w:color w:val="auto"/>
          <w:highlight w:val="none"/>
        </w:rPr>
        <w:t>日期：</w:t>
      </w:r>
      <w:r>
        <w:rPr>
          <w:rFonts w:hint="eastAsia" w:ascii="仿宋" w:hAnsi="仿宋" w:eastAsia="仿宋" w:cs="仿宋"/>
          <w:color w:val="auto"/>
          <w:highlight w:val="none"/>
          <w:u w:val="single"/>
        </w:rPr>
        <w:t xml:space="preserve">               </w:t>
      </w:r>
      <w:r>
        <w:rPr>
          <w:rFonts w:hint="eastAsia" w:ascii="仿宋" w:hAnsi="仿宋" w:eastAsia="仿宋" w:cs="仿宋"/>
          <w:color w:val="auto"/>
          <w:szCs w:val="21"/>
          <w:highlight w:val="none"/>
        </w:rPr>
        <w:t xml:space="preserve">  </w:t>
      </w:r>
    </w:p>
    <w:p>
      <w:pPr>
        <w:adjustRightInd w:val="0"/>
        <w:snapToGrid w:val="0"/>
        <w:spacing w:line="360" w:lineRule="auto"/>
        <w:ind w:right="105" w:rightChars="50"/>
        <w:jc w:val="left"/>
        <w:rPr>
          <w:rFonts w:hint="eastAsia" w:ascii="仿宋" w:hAnsi="仿宋" w:eastAsia="仿宋" w:cs="仿宋"/>
          <w:color w:val="auto"/>
          <w:szCs w:val="21"/>
          <w:highlight w:val="none"/>
        </w:rPr>
      </w:pPr>
    </w:p>
    <w:p>
      <w:pPr>
        <w:adjustRightInd w:val="0"/>
        <w:snapToGrid w:val="0"/>
        <w:spacing w:line="360" w:lineRule="auto"/>
        <w:ind w:right="105" w:rightChars="50"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br w:type="page"/>
      </w:r>
    </w:p>
    <w:p>
      <w:pPr>
        <w:pStyle w:val="3"/>
        <w:adjustRightInd w:val="0"/>
        <w:snapToGrid w:val="0"/>
        <w:spacing w:before="0" w:after="0" w:line="240" w:lineRule="auto"/>
        <w:jc w:val="left"/>
        <w:rPr>
          <w:rFonts w:hint="eastAsia" w:ascii="仿宋" w:hAnsi="仿宋" w:eastAsia="仿宋" w:cs="仿宋"/>
          <w:color w:val="auto"/>
          <w:szCs w:val="28"/>
          <w:highlight w:val="none"/>
        </w:rPr>
      </w:pPr>
      <w:r>
        <w:rPr>
          <w:rFonts w:hint="eastAsia" w:ascii="仿宋" w:hAnsi="仿宋" w:eastAsia="仿宋" w:cs="仿宋"/>
          <w:color w:val="auto"/>
          <w:szCs w:val="28"/>
          <w:highlight w:val="none"/>
        </w:rPr>
        <w:t>格式12</w:t>
      </w:r>
    </w:p>
    <w:p>
      <w:pPr>
        <w:adjustRightInd w:val="0"/>
        <w:snapToGrid w:val="0"/>
        <w:spacing w:before="319" w:beforeLines="100" w:after="319" w:afterLines="100" w:line="360" w:lineRule="auto"/>
        <w:ind w:right="105" w:rightChars="50"/>
        <w:jc w:val="center"/>
        <w:rPr>
          <w:rFonts w:hint="eastAsia" w:ascii="仿宋" w:hAnsi="仿宋" w:eastAsia="仿宋" w:cs="仿宋"/>
          <w:b/>
          <w:bCs/>
          <w:color w:val="auto"/>
          <w:sz w:val="32"/>
          <w:szCs w:val="32"/>
          <w:highlight w:val="none"/>
        </w:rPr>
      </w:pPr>
      <w:bookmarkStart w:id="116" w:name="_Toc16044_WPSOffice_Level2"/>
      <w:bookmarkStart w:id="117" w:name="_Toc28271_WPSOffice_Level2"/>
      <w:r>
        <w:rPr>
          <w:rFonts w:hint="eastAsia" w:ascii="仿宋" w:hAnsi="仿宋" w:eastAsia="仿宋" w:cs="仿宋"/>
          <w:b/>
          <w:bCs/>
          <w:color w:val="auto"/>
          <w:sz w:val="32"/>
          <w:szCs w:val="32"/>
          <w:highlight w:val="none"/>
        </w:rPr>
        <w:t>分项报价表</w:t>
      </w:r>
      <w:bookmarkEnd w:id="116"/>
      <w:bookmarkEnd w:id="117"/>
    </w:p>
    <w:p>
      <w:pPr>
        <w:adjustRightInd w:val="0"/>
        <w:snapToGrid w:val="0"/>
        <w:spacing w:line="360" w:lineRule="auto"/>
        <w:ind w:right="105" w:rightChars="50"/>
        <w:jc w:val="left"/>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包号：                                                      报价单位：</w:t>
      </w:r>
      <w:r>
        <w:rPr>
          <w:rFonts w:hint="eastAsia" w:ascii="仿宋" w:hAnsi="仿宋" w:cs="仿宋"/>
          <w:b/>
          <w:bCs/>
          <w:color w:val="auto"/>
          <w:szCs w:val="21"/>
          <w:highlight w:val="none"/>
          <w:lang w:val="en-US" w:eastAsia="zh-CN"/>
        </w:rPr>
        <w:t>元</w:t>
      </w:r>
    </w:p>
    <w:tbl>
      <w:tblPr>
        <w:tblStyle w:val="14"/>
        <w:tblW w:w="8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1347"/>
        <w:gridCol w:w="1033"/>
        <w:gridCol w:w="1033"/>
        <w:gridCol w:w="721"/>
        <w:gridCol w:w="802"/>
        <w:gridCol w:w="802"/>
        <w:gridCol w:w="675"/>
        <w:gridCol w:w="682"/>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557"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序号</w:t>
            </w:r>
          </w:p>
        </w:tc>
        <w:tc>
          <w:tcPr>
            <w:tcW w:w="1347"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产品名称</w:t>
            </w:r>
          </w:p>
        </w:tc>
        <w:tc>
          <w:tcPr>
            <w:tcW w:w="1033"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品牌</w:t>
            </w:r>
          </w:p>
        </w:tc>
        <w:tc>
          <w:tcPr>
            <w:tcW w:w="1033"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型号</w:t>
            </w:r>
          </w:p>
          <w:p>
            <w:pPr>
              <w:adjustRightInd w:val="0"/>
              <w:snapToGrid w:val="0"/>
              <w:ind w:left="-96" w:leftChars="-46" w:right="-63" w:rightChars="-3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规格</w:t>
            </w:r>
          </w:p>
        </w:tc>
        <w:tc>
          <w:tcPr>
            <w:tcW w:w="721"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数量</w:t>
            </w:r>
          </w:p>
        </w:tc>
        <w:tc>
          <w:tcPr>
            <w:tcW w:w="802"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原产地</w:t>
            </w:r>
          </w:p>
        </w:tc>
        <w:tc>
          <w:tcPr>
            <w:tcW w:w="802"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制造商名称</w:t>
            </w:r>
          </w:p>
        </w:tc>
        <w:tc>
          <w:tcPr>
            <w:tcW w:w="675"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单价</w:t>
            </w:r>
          </w:p>
        </w:tc>
        <w:tc>
          <w:tcPr>
            <w:tcW w:w="682"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总价</w:t>
            </w:r>
          </w:p>
        </w:tc>
        <w:tc>
          <w:tcPr>
            <w:tcW w:w="802"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1347"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1033"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1033"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721"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802"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802"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675"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682"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802"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1347"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1033"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1033"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721"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802"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802"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675"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682"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802"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1347"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1033"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1033"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721"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802"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802"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675"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682"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802"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1347"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1033"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1033"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721"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802"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802"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675"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682"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802"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1347"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1033"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1033"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721"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802"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802"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675"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682"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802"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1347"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1033"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1033"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721"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802"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802"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675"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682"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c>
          <w:tcPr>
            <w:tcW w:w="802" w:type="dxa"/>
            <w:noWrap w:val="0"/>
            <w:vAlign w:val="center"/>
          </w:tcPr>
          <w:p>
            <w:pPr>
              <w:adjustRightInd w:val="0"/>
              <w:snapToGrid w:val="0"/>
              <w:ind w:left="-96" w:leftChars="-46" w:right="-63" w:rightChars="-30"/>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904" w:type="dxa"/>
            <w:gridSpan w:val="2"/>
            <w:noWrap w:val="0"/>
            <w:vAlign w:val="center"/>
          </w:tcPr>
          <w:p>
            <w:pPr>
              <w:adjustRightInd w:val="0"/>
              <w:snapToGrid w:val="0"/>
              <w:ind w:right="105" w:rightChars="5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总价</w:t>
            </w:r>
          </w:p>
        </w:tc>
        <w:tc>
          <w:tcPr>
            <w:tcW w:w="1033" w:type="dxa"/>
            <w:noWrap w:val="0"/>
            <w:vAlign w:val="center"/>
          </w:tcPr>
          <w:p>
            <w:pPr>
              <w:adjustRightInd w:val="0"/>
              <w:snapToGrid w:val="0"/>
              <w:ind w:right="105" w:rightChars="50"/>
              <w:jc w:val="center"/>
              <w:rPr>
                <w:rFonts w:hint="eastAsia" w:ascii="仿宋" w:hAnsi="仿宋" w:eastAsia="仿宋" w:cs="仿宋"/>
                <w:color w:val="auto"/>
                <w:szCs w:val="21"/>
                <w:highlight w:val="none"/>
              </w:rPr>
            </w:pPr>
          </w:p>
        </w:tc>
        <w:tc>
          <w:tcPr>
            <w:tcW w:w="1033" w:type="dxa"/>
            <w:noWrap w:val="0"/>
            <w:vAlign w:val="center"/>
          </w:tcPr>
          <w:p>
            <w:pPr>
              <w:adjustRightInd w:val="0"/>
              <w:snapToGrid w:val="0"/>
              <w:ind w:right="105" w:rightChars="50"/>
              <w:jc w:val="center"/>
              <w:rPr>
                <w:rFonts w:hint="eastAsia" w:ascii="仿宋" w:hAnsi="仿宋" w:eastAsia="仿宋" w:cs="仿宋"/>
                <w:color w:val="auto"/>
                <w:szCs w:val="21"/>
                <w:highlight w:val="none"/>
              </w:rPr>
            </w:pPr>
          </w:p>
        </w:tc>
        <w:tc>
          <w:tcPr>
            <w:tcW w:w="721" w:type="dxa"/>
            <w:noWrap w:val="0"/>
            <w:vAlign w:val="center"/>
          </w:tcPr>
          <w:p>
            <w:pPr>
              <w:adjustRightInd w:val="0"/>
              <w:snapToGrid w:val="0"/>
              <w:ind w:right="105" w:rightChars="50"/>
              <w:jc w:val="center"/>
              <w:rPr>
                <w:rFonts w:hint="eastAsia" w:ascii="仿宋" w:hAnsi="仿宋" w:eastAsia="仿宋" w:cs="仿宋"/>
                <w:color w:val="auto"/>
                <w:szCs w:val="21"/>
                <w:highlight w:val="none"/>
              </w:rPr>
            </w:pPr>
          </w:p>
        </w:tc>
        <w:tc>
          <w:tcPr>
            <w:tcW w:w="802" w:type="dxa"/>
            <w:noWrap w:val="0"/>
            <w:vAlign w:val="center"/>
          </w:tcPr>
          <w:p>
            <w:pPr>
              <w:adjustRightInd w:val="0"/>
              <w:snapToGrid w:val="0"/>
              <w:ind w:right="105" w:rightChars="50"/>
              <w:jc w:val="center"/>
              <w:rPr>
                <w:rFonts w:hint="eastAsia" w:ascii="仿宋" w:hAnsi="仿宋" w:eastAsia="仿宋" w:cs="仿宋"/>
                <w:color w:val="auto"/>
                <w:szCs w:val="21"/>
                <w:highlight w:val="none"/>
              </w:rPr>
            </w:pPr>
          </w:p>
        </w:tc>
        <w:tc>
          <w:tcPr>
            <w:tcW w:w="802" w:type="dxa"/>
            <w:noWrap w:val="0"/>
            <w:vAlign w:val="center"/>
          </w:tcPr>
          <w:p>
            <w:pPr>
              <w:adjustRightInd w:val="0"/>
              <w:snapToGrid w:val="0"/>
              <w:ind w:right="105" w:rightChars="50"/>
              <w:jc w:val="center"/>
              <w:rPr>
                <w:rFonts w:hint="eastAsia" w:ascii="仿宋" w:hAnsi="仿宋" w:eastAsia="仿宋" w:cs="仿宋"/>
                <w:color w:val="auto"/>
                <w:szCs w:val="21"/>
                <w:highlight w:val="none"/>
              </w:rPr>
            </w:pPr>
          </w:p>
        </w:tc>
        <w:tc>
          <w:tcPr>
            <w:tcW w:w="675" w:type="dxa"/>
            <w:noWrap w:val="0"/>
            <w:vAlign w:val="center"/>
          </w:tcPr>
          <w:p>
            <w:pPr>
              <w:adjustRightInd w:val="0"/>
              <w:snapToGrid w:val="0"/>
              <w:ind w:right="105" w:rightChars="50"/>
              <w:jc w:val="center"/>
              <w:rPr>
                <w:rFonts w:hint="eastAsia" w:ascii="仿宋" w:hAnsi="仿宋" w:eastAsia="仿宋" w:cs="仿宋"/>
                <w:color w:val="auto"/>
                <w:szCs w:val="21"/>
                <w:highlight w:val="none"/>
              </w:rPr>
            </w:pPr>
          </w:p>
        </w:tc>
        <w:tc>
          <w:tcPr>
            <w:tcW w:w="682" w:type="dxa"/>
            <w:noWrap w:val="0"/>
            <w:vAlign w:val="center"/>
          </w:tcPr>
          <w:p>
            <w:pPr>
              <w:adjustRightInd w:val="0"/>
              <w:snapToGrid w:val="0"/>
              <w:ind w:right="105" w:rightChars="50"/>
              <w:jc w:val="center"/>
              <w:rPr>
                <w:rFonts w:hint="eastAsia" w:ascii="仿宋" w:hAnsi="仿宋" w:eastAsia="仿宋" w:cs="仿宋"/>
                <w:color w:val="auto"/>
                <w:szCs w:val="21"/>
                <w:highlight w:val="none"/>
              </w:rPr>
            </w:pPr>
          </w:p>
        </w:tc>
        <w:tc>
          <w:tcPr>
            <w:tcW w:w="802" w:type="dxa"/>
            <w:noWrap w:val="0"/>
            <w:vAlign w:val="center"/>
          </w:tcPr>
          <w:p>
            <w:pPr>
              <w:adjustRightInd w:val="0"/>
              <w:snapToGrid w:val="0"/>
              <w:ind w:right="105" w:rightChars="50"/>
              <w:jc w:val="center"/>
              <w:rPr>
                <w:rFonts w:hint="eastAsia" w:ascii="仿宋" w:hAnsi="仿宋" w:eastAsia="仿宋" w:cs="仿宋"/>
                <w:color w:val="auto"/>
                <w:szCs w:val="21"/>
                <w:highlight w:val="none"/>
              </w:rPr>
            </w:pPr>
          </w:p>
        </w:tc>
      </w:tr>
    </w:tbl>
    <w:p>
      <w:pPr>
        <w:adjustRightInd w:val="0"/>
        <w:snapToGrid w:val="0"/>
        <w:spacing w:line="360" w:lineRule="auto"/>
        <w:ind w:right="105" w:rightChars="50"/>
        <w:jc w:val="left"/>
        <w:rPr>
          <w:rFonts w:hint="eastAsia" w:ascii="仿宋" w:hAnsi="仿宋" w:eastAsia="仿宋" w:cs="仿宋"/>
          <w:color w:val="auto"/>
          <w:szCs w:val="21"/>
          <w:highlight w:val="none"/>
        </w:rPr>
      </w:pPr>
    </w:p>
    <w:p>
      <w:pPr>
        <w:adjustRightInd w:val="0"/>
        <w:snapToGrid w:val="0"/>
        <w:spacing w:line="360" w:lineRule="auto"/>
        <w:ind w:right="105" w:rightChars="50"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注：此表中，总价应和开标一览表的投标总价相一致。</w:t>
      </w:r>
    </w:p>
    <w:p>
      <w:pPr>
        <w:adjustRightInd w:val="0"/>
        <w:snapToGrid w:val="0"/>
        <w:spacing w:line="360" w:lineRule="auto"/>
        <w:ind w:right="105" w:rightChars="50" w:firstLine="420" w:firstLineChars="200"/>
        <w:jc w:val="left"/>
        <w:rPr>
          <w:rFonts w:hint="eastAsia" w:ascii="仿宋" w:hAnsi="仿宋" w:eastAsia="仿宋" w:cs="仿宋"/>
          <w:color w:val="auto"/>
          <w:szCs w:val="21"/>
          <w:highlight w:val="none"/>
        </w:rPr>
      </w:pPr>
    </w:p>
    <w:p>
      <w:pPr>
        <w:adjustRightInd w:val="0"/>
        <w:snapToGrid w:val="0"/>
        <w:spacing w:line="360" w:lineRule="auto"/>
        <w:ind w:right="105" w:rightChars="50" w:firstLine="420" w:firstLineChars="200"/>
        <w:jc w:val="left"/>
        <w:rPr>
          <w:rFonts w:hint="eastAsia" w:ascii="仿宋" w:hAnsi="仿宋" w:eastAsia="仿宋" w:cs="仿宋"/>
          <w:color w:val="auto"/>
          <w:szCs w:val="21"/>
          <w:highlight w:val="none"/>
        </w:rPr>
      </w:pPr>
    </w:p>
    <w:p>
      <w:pPr>
        <w:adjustRightInd w:val="0"/>
        <w:snapToGrid w:val="0"/>
        <w:spacing w:line="360" w:lineRule="auto"/>
        <w:ind w:right="105" w:rightChars="50"/>
        <w:jc w:val="left"/>
        <w:rPr>
          <w:rFonts w:hint="eastAsia" w:ascii="仿宋" w:hAnsi="仿宋" w:eastAsia="仿宋" w:cs="仿宋"/>
          <w:color w:val="auto"/>
          <w:szCs w:val="21"/>
          <w:highlight w:val="none"/>
        </w:rPr>
      </w:pPr>
    </w:p>
    <w:p>
      <w:pPr>
        <w:adjustRightInd w:val="0"/>
        <w:snapToGrid w:val="0"/>
        <w:spacing w:line="360" w:lineRule="auto"/>
        <w:ind w:right="105" w:rightChars="50"/>
        <w:jc w:val="left"/>
        <w:rPr>
          <w:rFonts w:hint="eastAsia" w:ascii="仿宋" w:hAnsi="仿宋" w:eastAsia="仿宋" w:cs="仿宋"/>
          <w:color w:val="auto"/>
          <w:szCs w:val="21"/>
          <w:highlight w:val="none"/>
        </w:rPr>
      </w:pPr>
    </w:p>
    <w:p>
      <w:pPr>
        <w:adjustRightInd w:val="0"/>
        <w:snapToGrid w:val="0"/>
        <w:spacing w:line="360" w:lineRule="auto"/>
        <w:ind w:right="105" w:rightChars="50"/>
        <w:jc w:val="left"/>
        <w:rPr>
          <w:rFonts w:hint="eastAsia" w:ascii="仿宋" w:hAnsi="仿宋" w:eastAsia="仿宋" w:cs="仿宋"/>
          <w:color w:val="auto"/>
          <w:szCs w:val="21"/>
          <w:highlight w:val="none"/>
        </w:rPr>
      </w:pPr>
    </w:p>
    <w:p>
      <w:pPr>
        <w:adjustRightInd w:val="0"/>
        <w:snapToGrid w:val="0"/>
        <w:spacing w:line="480" w:lineRule="auto"/>
        <w:rPr>
          <w:rFonts w:hint="eastAsia" w:ascii="仿宋" w:hAnsi="仿宋" w:eastAsia="仿宋" w:cs="仿宋"/>
          <w:color w:val="auto"/>
          <w:highlight w:val="none"/>
        </w:rPr>
      </w:pPr>
      <w:r>
        <w:rPr>
          <w:rFonts w:hint="eastAsia" w:ascii="仿宋" w:hAnsi="仿宋" w:eastAsia="仿宋" w:cs="仿宋"/>
          <w:color w:val="auto"/>
          <w:highlight w:val="none"/>
        </w:rPr>
        <w:t>投标人名称（加盖单位公章）：</w:t>
      </w:r>
      <w:r>
        <w:rPr>
          <w:rFonts w:hint="eastAsia" w:ascii="仿宋" w:hAnsi="仿宋" w:eastAsia="仿宋" w:cs="仿宋"/>
          <w:color w:val="auto"/>
          <w:highlight w:val="none"/>
          <w:u w:val="single"/>
        </w:rPr>
        <w:t xml:space="preserve">           </w:t>
      </w:r>
    </w:p>
    <w:p>
      <w:pPr>
        <w:adjustRightInd w:val="0"/>
        <w:snapToGrid w:val="0"/>
        <w:spacing w:line="480" w:lineRule="auto"/>
        <w:rPr>
          <w:rFonts w:hint="eastAsia" w:ascii="仿宋" w:hAnsi="仿宋" w:eastAsia="仿宋" w:cs="仿宋"/>
          <w:color w:val="auto"/>
          <w:highlight w:val="none"/>
        </w:rPr>
      </w:pPr>
      <w:r>
        <w:rPr>
          <w:rFonts w:hint="eastAsia" w:ascii="仿宋" w:hAnsi="仿宋" w:eastAsia="仿宋" w:cs="仿宋"/>
          <w:color w:val="auto"/>
          <w:highlight w:val="none"/>
        </w:rPr>
        <w:t>法定代表人（或</w:t>
      </w:r>
      <w:r>
        <w:rPr>
          <w:rFonts w:hint="eastAsia" w:ascii="仿宋" w:hAnsi="仿宋" w:eastAsia="仿宋" w:cs="仿宋"/>
          <w:color w:val="auto"/>
          <w:szCs w:val="21"/>
          <w:highlight w:val="none"/>
        </w:rPr>
        <w:t>非法人组织负责人）或</w:t>
      </w:r>
      <w:r>
        <w:rPr>
          <w:rFonts w:hint="eastAsia" w:ascii="仿宋" w:hAnsi="仿宋" w:eastAsia="仿宋" w:cs="仿宋"/>
          <w:color w:val="auto"/>
          <w:highlight w:val="none"/>
        </w:rPr>
        <w:t>其</w:t>
      </w:r>
      <w:r>
        <w:rPr>
          <w:rFonts w:hint="eastAsia" w:ascii="仿宋" w:hAnsi="仿宋" w:eastAsia="仿宋" w:cs="仿宋"/>
          <w:color w:val="auto"/>
          <w:szCs w:val="21"/>
          <w:highlight w:val="none"/>
        </w:rPr>
        <w:t>授权</w:t>
      </w:r>
      <w:r>
        <w:rPr>
          <w:rFonts w:hint="eastAsia" w:ascii="仿宋" w:hAnsi="仿宋" w:eastAsia="仿宋" w:cs="仿宋"/>
          <w:color w:val="auto"/>
          <w:highlight w:val="none"/>
        </w:rPr>
        <w:t>委托</w:t>
      </w:r>
      <w:r>
        <w:rPr>
          <w:rFonts w:hint="eastAsia" w:ascii="仿宋" w:hAnsi="仿宋" w:eastAsia="仿宋" w:cs="仿宋"/>
          <w:color w:val="auto"/>
          <w:szCs w:val="21"/>
          <w:highlight w:val="none"/>
        </w:rPr>
        <w:t>人</w:t>
      </w:r>
      <w:r>
        <w:rPr>
          <w:rFonts w:hint="eastAsia" w:ascii="仿宋" w:hAnsi="仿宋" w:eastAsia="仿宋" w:cs="仿宋"/>
          <w:color w:val="auto"/>
          <w:highlight w:val="none"/>
        </w:rPr>
        <w:t>(签字或盖章)：</w:t>
      </w:r>
      <w:r>
        <w:rPr>
          <w:rFonts w:hint="eastAsia" w:ascii="仿宋" w:hAnsi="仿宋" w:eastAsia="仿宋" w:cs="仿宋"/>
          <w:color w:val="auto"/>
          <w:highlight w:val="none"/>
          <w:u w:val="single"/>
        </w:rPr>
        <w:t xml:space="preserve">           </w:t>
      </w:r>
    </w:p>
    <w:p>
      <w:pPr>
        <w:adjustRightInd w:val="0"/>
        <w:snapToGrid w:val="0"/>
        <w:spacing w:line="480" w:lineRule="auto"/>
        <w:ind w:right="105" w:rightChars="50"/>
        <w:jc w:val="left"/>
        <w:rPr>
          <w:rFonts w:hint="eastAsia" w:ascii="仿宋" w:hAnsi="仿宋" w:eastAsia="仿宋" w:cs="仿宋"/>
          <w:color w:val="auto"/>
          <w:szCs w:val="21"/>
          <w:highlight w:val="none"/>
        </w:rPr>
      </w:pPr>
      <w:r>
        <w:rPr>
          <w:rFonts w:hint="eastAsia" w:ascii="仿宋" w:hAnsi="仿宋" w:eastAsia="仿宋" w:cs="仿宋"/>
          <w:color w:val="auto"/>
          <w:highlight w:val="none"/>
        </w:rPr>
        <w:t>日期：</w:t>
      </w:r>
      <w:r>
        <w:rPr>
          <w:rFonts w:hint="eastAsia" w:ascii="仿宋" w:hAnsi="仿宋" w:eastAsia="仿宋" w:cs="仿宋"/>
          <w:color w:val="auto"/>
          <w:highlight w:val="none"/>
          <w:u w:val="single"/>
        </w:rPr>
        <w:t xml:space="preserve">               </w:t>
      </w:r>
    </w:p>
    <w:p>
      <w:pPr>
        <w:pStyle w:val="3"/>
        <w:adjustRightInd w:val="0"/>
        <w:snapToGrid w:val="0"/>
        <w:spacing w:before="0" w:after="0" w:line="240" w:lineRule="auto"/>
        <w:jc w:val="left"/>
        <w:rPr>
          <w:rFonts w:hint="eastAsia" w:ascii="仿宋" w:hAnsi="仿宋" w:cs="仿宋"/>
          <w:color w:val="auto"/>
          <w:szCs w:val="28"/>
          <w:highlight w:val="none"/>
        </w:rPr>
      </w:pPr>
      <w:r>
        <w:rPr>
          <w:rFonts w:hint="eastAsia" w:ascii="仿宋" w:hAnsi="仿宋" w:eastAsia="仿宋" w:cs="仿宋"/>
          <w:color w:val="auto"/>
          <w:szCs w:val="21"/>
          <w:highlight w:val="none"/>
        </w:rPr>
        <w:br w:type="page"/>
      </w:r>
      <w:r>
        <w:rPr>
          <w:rFonts w:hint="eastAsia" w:ascii="仿宋" w:hAnsi="仿宋" w:cs="仿宋"/>
          <w:color w:val="auto"/>
          <w:szCs w:val="28"/>
          <w:highlight w:val="none"/>
        </w:rPr>
        <w:t>格式13</w:t>
      </w:r>
    </w:p>
    <w:p>
      <w:pPr>
        <w:adjustRightInd w:val="0"/>
        <w:snapToGrid w:val="0"/>
        <w:spacing w:before="319" w:beforeLines="100" w:line="360" w:lineRule="auto"/>
        <w:ind w:right="105" w:rightChars="50"/>
        <w:jc w:val="center"/>
        <w:rPr>
          <w:rFonts w:hint="eastAsia" w:ascii="仿宋" w:hAnsi="仿宋" w:cs="仿宋"/>
          <w:b/>
          <w:bCs/>
          <w:color w:val="auto"/>
          <w:sz w:val="32"/>
          <w:szCs w:val="32"/>
          <w:highlight w:val="none"/>
        </w:rPr>
      </w:pPr>
      <w:bookmarkStart w:id="118" w:name="_Toc31555_WPSOffice_Level2"/>
      <w:bookmarkStart w:id="119" w:name="_Toc9235_WPSOffice_Level2"/>
      <w:r>
        <w:rPr>
          <w:rFonts w:hint="eastAsia" w:ascii="仿宋" w:hAnsi="仿宋" w:cs="仿宋"/>
          <w:b/>
          <w:bCs/>
          <w:color w:val="auto"/>
          <w:sz w:val="32"/>
          <w:szCs w:val="32"/>
          <w:highlight w:val="none"/>
        </w:rPr>
        <w:t>技术规格偏离表</w:t>
      </w:r>
      <w:bookmarkEnd w:id="118"/>
      <w:bookmarkEnd w:id="119"/>
    </w:p>
    <w:tbl>
      <w:tblPr>
        <w:tblStyle w:val="1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0"/>
        <w:gridCol w:w="1463"/>
        <w:gridCol w:w="1186"/>
        <w:gridCol w:w="1125"/>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8755"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105" w:rightChars="50"/>
              <w:jc w:val="left"/>
              <w:rPr>
                <w:rFonts w:ascii="仿宋" w:hAnsi="仿宋" w:cs="仿宋"/>
                <w:color w:val="auto"/>
                <w:szCs w:val="21"/>
                <w:highlight w:val="none"/>
              </w:rPr>
            </w:pPr>
            <w:r>
              <w:rPr>
                <w:rFonts w:hint="eastAsia" w:ascii="仿宋" w:hAnsi="仿宋" w:cs="仿宋"/>
                <w:color w:val="auto"/>
                <w:szCs w:val="21"/>
                <w:highlight w:val="none"/>
              </w:rPr>
              <w:t>包号/序号：001</w:t>
            </w:r>
          </w:p>
          <w:p>
            <w:pPr>
              <w:pStyle w:val="12"/>
              <w:widowControl w:val="0"/>
              <w:adjustRightInd w:val="0"/>
              <w:snapToGrid w:val="0"/>
              <w:spacing w:before="0" w:beforeAutospacing="0" w:after="0" w:afterAutospacing="0"/>
              <w:jc w:val="both"/>
              <w:rPr>
                <w:rFonts w:hint="eastAsia"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产品名称：</w:t>
            </w:r>
          </w:p>
          <w:p>
            <w:pPr>
              <w:pStyle w:val="12"/>
              <w:widowControl w:val="0"/>
              <w:adjustRightInd w:val="0"/>
              <w:snapToGrid w:val="0"/>
              <w:spacing w:before="0" w:beforeAutospacing="0" w:after="0" w:afterAutospacing="0"/>
              <w:jc w:val="both"/>
              <w:rPr>
                <w:rFonts w:hint="eastAsia"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数量：</w:t>
            </w:r>
          </w:p>
          <w:p>
            <w:pPr>
              <w:tabs>
                <w:tab w:val="left" w:pos="0"/>
              </w:tabs>
              <w:adjustRightInd w:val="0"/>
              <w:snapToGrid w:val="0"/>
              <w:rPr>
                <w:rFonts w:hint="eastAsia" w:ascii="仿宋" w:hAnsi="仿宋" w:cs="仿宋"/>
                <w:color w:val="auto"/>
                <w:szCs w:val="21"/>
                <w:highlight w:val="none"/>
              </w:rPr>
            </w:pPr>
            <w:r>
              <w:rPr>
                <w:rFonts w:hint="eastAsia" w:ascii="仿宋" w:hAnsi="仿宋" w:cs="仿宋"/>
                <w:color w:val="auto"/>
                <w:szCs w:val="21"/>
                <w:highlight w:val="none"/>
              </w:rPr>
              <w:t>是否为经过审批采购的进口产品：</w:t>
            </w:r>
          </w:p>
          <w:p>
            <w:pPr>
              <w:tabs>
                <w:tab w:val="left" w:pos="0"/>
              </w:tabs>
              <w:adjustRightInd w:val="0"/>
              <w:snapToGrid w:val="0"/>
              <w:rPr>
                <w:rFonts w:hint="eastAsia" w:ascii="仿宋" w:hAnsi="仿宋" w:cs="仿宋"/>
                <w:color w:val="auto"/>
                <w:szCs w:val="21"/>
                <w:highlight w:val="none"/>
              </w:rPr>
            </w:pPr>
            <w:r>
              <w:rPr>
                <w:rFonts w:hint="eastAsia" w:ascii="仿宋" w:hAnsi="仿宋" w:cs="仿宋"/>
                <w:color w:val="auto"/>
                <w:szCs w:val="21"/>
                <w:highlight w:val="none"/>
              </w:rPr>
              <w:t>是否为核心产品（非单一产品采购项目时适用）：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3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招标文件要求</w:t>
            </w:r>
          </w:p>
          <w:p>
            <w:pPr>
              <w:ind w:hanging="1"/>
              <w:rPr>
                <w:rFonts w:hint="eastAsia" w:ascii="仿宋" w:hAnsi="仿宋" w:cs="仿宋"/>
                <w:b/>
                <w:color w:val="auto"/>
                <w:szCs w:val="21"/>
                <w:highlight w:val="none"/>
              </w:rPr>
            </w:pPr>
            <w:r>
              <w:rPr>
                <w:rFonts w:hint="eastAsia" w:ascii="仿宋" w:hAnsi="仿宋" w:cs="仿宋"/>
                <w:b/>
                <w:color w:val="auto"/>
                <w:sz w:val="18"/>
                <w:szCs w:val="18"/>
                <w:highlight w:val="none"/>
              </w:rPr>
              <w:t>重要提示：实质性要求及重要指标用★标注（“★”必须标注在序号前），★标注项不得负偏离，如果负偏离，则投标文件无效。</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投标文件</w:t>
            </w:r>
          </w:p>
          <w:p>
            <w:pPr>
              <w:tabs>
                <w:tab w:val="left" w:pos="0"/>
              </w:tabs>
              <w:spacing w:line="240" w:lineRule="exact"/>
              <w:jc w:val="center"/>
              <w:rPr>
                <w:rFonts w:hint="eastAsia" w:ascii="仿宋" w:hAnsi="仿宋" w:cs="仿宋"/>
                <w:color w:val="auto"/>
                <w:kern w:val="0"/>
                <w:szCs w:val="21"/>
                <w:highlight w:val="none"/>
              </w:rPr>
            </w:pPr>
            <w:r>
              <w:rPr>
                <w:rFonts w:hint="eastAsia" w:ascii="仿宋" w:hAnsi="仿宋" w:cs="仿宋"/>
                <w:color w:val="auto"/>
                <w:szCs w:val="21"/>
                <w:highlight w:val="none"/>
              </w:rPr>
              <w:t>响应内容</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240" w:lineRule="exact"/>
              <w:jc w:val="center"/>
              <w:rPr>
                <w:rFonts w:hint="eastAsia" w:ascii="仿宋" w:hAnsi="仿宋" w:cs="仿宋"/>
                <w:color w:val="auto"/>
                <w:kern w:val="0"/>
                <w:szCs w:val="21"/>
                <w:highlight w:val="none"/>
              </w:rPr>
            </w:pPr>
            <w:r>
              <w:rPr>
                <w:rFonts w:hint="eastAsia" w:ascii="仿宋" w:hAnsi="仿宋" w:cs="仿宋"/>
                <w:color w:val="auto"/>
                <w:szCs w:val="21"/>
                <w:highlight w:val="none"/>
              </w:rPr>
              <w:t>偏离程度</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240" w:lineRule="exact"/>
              <w:jc w:val="center"/>
              <w:rPr>
                <w:rFonts w:hint="eastAsia" w:ascii="仿宋" w:hAnsi="仿宋" w:cs="仿宋"/>
                <w:color w:val="auto"/>
                <w:kern w:val="0"/>
                <w:szCs w:val="21"/>
                <w:highlight w:val="none"/>
              </w:rPr>
            </w:pPr>
            <w:r>
              <w:rPr>
                <w:rFonts w:hint="eastAsia" w:ascii="仿宋" w:hAnsi="仿宋" w:cs="仿宋"/>
                <w:color w:val="auto"/>
                <w:szCs w:val="21"/>
                <w:highlight w:val="none"/>
              </w:rPr>
              <w:t>偏离说明</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240" w:lineRule="exact"/>
              <w:jc w:val="center"/>
              <w:rPr>
                <w:rFonts w:hint="eastAsia" w:ascii="仿宋" w:hAnsi="仿宋" w:cs="仿宋"/>
                <w:color w:val="auto"/>
                <w:szCs w:val="21"/>
                <w:highlight w:val="none"/>
              </w:rPr>
            </w:pPr>
            <w:r>
              <w:rPr>
                <w:rFonts w:hint="eastAsia" w:ascii="仿宋" w:hAnsi="仿宋" w:cs="仿宋"/>
                <w:color w:val="auto"/>
                <w:szCs w:val="21"/>
                <w:highlight w:val="none"/>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trPr>
        <w:tc>
          <w:tcPr>
            <w:tcW w:w="3890" w:type="dxa"/>
            <w:tcBorders>
              <w:top w:val="single" w:color="auto" w:sz="4" w:space="0"/>
              <w:left w:val="single" w:color="auto" w:sz="4" w:space="0"/>
              <w:bottom w:val="single" w:color="auto" w:sz="4" w:space="0"/>
              <w:right w:val="single" w:color="auto" w:sz="4" w:space="0"/>
            </w:tcBorders>
            <w:noWrap w:val="0"/>
            <w:vAlign w:val="center"/>
          </w:tcPr>
          <w:p>
            <w:pPr>
              <w:outlineLvl w:val="1"/>
              <w:rPr>
                <w:rFonts w:hint="eastAsia" w:ascii="仿宋" w:hAnsi="仿宋" w:cs="仿宋"/>
                <w:b/>
                <w:bCs/>
                <w:color w:val="auto"/>
                <w:szCs w:val="21"/>
                <w:highlight w:val="none"/>
              </w:rPr>
            </w:pPr>
            <w:r>
              <w:rPr>
                <w:rFonts w:hint="eastAsia" w:ascii="仿宋" w:hAnsi="仿宋" w:cs="仿宋"/>
                <w:b/>
                <w:color w:val="auto"/>
                <w:sz w:val="18"/>
                <w:szCs w:val="18"/>
                <w:highlight w:val="none"/>
              </w:rPr>
              <w:t>★</w:t>
            </w:r>
            <w:r>
              <w:rPr>
                <w:rFonts w:hint="eastAsia" w:ascii="仿宋" w:hAnsi="仿宋" w:cs="仿宋"/>
                <w:b/>
                <w:bCs/>
                <w:color w:val="auto"/>
                <w:szCs w:val="21"/>
                <w:highlight w:val="none"/>
              </w:rPr>
              <w:t>一、产品参数</w:t>
            </w:r>
          </w:p>
          <w:p>
            <w:pPr>
              <w:ind w:firstLine="420" w:firstLineChars="200"/>
              <w:rPr>
                <w:rFonts w:hint="eastAsia" w:ascii="仿宋" w:hAnsi="仿宋" w:cs="仿宋"/>
                <w:color w:val="auto"/>
                <w:szCs w:val="21"/>
                <w:highlight w:val="none"/>
              </w:rPr>
            </w:pPr>
            <w:r>
              <w:rPr>
                <w:rFonts w:hint="eastAsia" w:ascii="仿宋" w:hAnsi="仿宋" w:cs="仿宋"/>
                <w:color w:val="auto"/>
                <w:szCs w:val="21"/>
                <w:highlight w:val="none"/>
              </w:rPr>
              <w:t>商品有机肥选用颗粒状商品有机肥，且符合中华人民共和国农业行业标准《有机肥料》（NY/T 525-2021）的规定，主要技术指标见表1和表2。施用标准为平均0.2t/亩。</w:t>
            </w:r>
          </w:p>
          <w:p>
            <w:pPr>
              <w:jc w:val="center"/>
              <w:rPr>
                <w:rFonts w:hint="eastAsia" w:ascii="仿宋" w:hAnsi="仿宋" w:cs="仿宋"/>
                <w:color w:val="auto"/>
                <w:szCs w:val="21"/>
                <w:highlight w:val="none"/>
              </w:rPr>
            </w:pPr>
            <w:r>
              <w:rPr>
                <w:rFonts w:hint="eastAsia" w:ascii="仿宋" w:hAnsi="仿宋" w:cs="仿宋"/>
                <w:color w:val="auto"/>
                <w:szCs w:val="21"/>
                <w:highlight w:val="none"/>
              </w:rPr>
              <w:t>表1有机肥料技术指标要求</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2"/>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项 目</w:t>
                  </w:r>
                </w:p>
              </w:tc>
              <w:tc>
                <w:tcPr>
                  <w:tcW w:w="1625" w:type="dxa"/>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有机质的质量分数(以烘干基计)，%</w:t>
                  </w:r>
                </w:p>
              </w:tc>
              <w:tc>
                <w:tcPr>
                  <w:tcW w:w="1625" w:type="dxa"/>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总养分(氮+五氧化二磷+氧化钾)的质量分数(以烘干基计)，%</w:t>
                  </w:r>
                </w:p>
              </w:tc>
              <w:tc>
                <w:tcPr>
                  <w:tcW w:w="1625" w:type="dxa"/>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水分(鲜样)的质量分数，%</w:t>
                  </w:r>
                </w:p>
              </w:tc>
              <w:tc>
                <w:tcPr>
                  <w:tcW w:w="1625" w:type="dxa"/>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酸碱度(pH)</w:t>
                  </w:r>
                </w:p>
              </w:tc>
              <w:tc>
                <w:tcPr>
                  <w:tcW w:w="1625" w:type="dxa"/>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5.5～8.5</w:t>
                  </w:r>
                </w:p>
              </w:tc>
            </w:tr>
          </w:tbl>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表2有机肥料中重金属限量指标要求   单位：mg/kg</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2"/>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szCs w:val="21"/>
                      <w:highlight w:val="none"/>
                    </w:rPr>
                    <w:t>项 目</w:t>
                  </w:r>
                </w:p>
              </w:tc>
              <w:tc>
                <w:tcPr>
                  <w:tcW w:w="1637" w:type="dxa"/>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限量指标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总砷(As)(以烘干基计)</w:t>
                  </w:r>
                </w:p>
              </w:tc>
              <w:tc>
                <w:tcPr>
                  <w:tcW w:w="1637" w:type="dxa"/>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总汞(Hg)(以烘干基计)</w:t>
                  </w:r>
                </w:p>
              </w:tc>
              <w:tc>
                <w:tcPr>
                  <w:tcW w:w="1637" w:type="dxa"/>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总铅(Pb)(以烘于基计)</w:t>
                  </w:r>
                </w:p>
              </w:tc>
              <w:tc>
                <w:tcPr>
                  <w:tcW w:w="1637" w:type="dxa"/>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szCs w:val="21"/>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总镉(Cd)(以烘干基计)</w:t>
                  </w:r>
                </w:p>
              </w:tc>
              <w:tc>
                <w:tcPr>
                  <w:tcW w:w="1637" w:type="dxa"/>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总铬(Cr)(以烘干基计)</w:t>
                  </w:r>
                </w:p>
              </w:tc>
              <w:tc>
                <w:tcPr>
                  <w:tcW w:w="1637" w:type="dxa"/>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szCs w:val="21"/>
                      <w:highlight w:val="none"/>
                    </w:rPr>
                    <w:t>≤150</w:t>
                  </w:r>
                </w:p>
              </w:tc>
            </w:tr>
          </w:tbl>
          <w:p>
            <w:pPr>
              <w:widowControl/>
              <w:jc w:val="left"/>
              <w:outlineLvl w:val="1"/>
              <w:rPr>
                <w:rFonts w:hint="eastAsia" w:ascii="仿宋" w:hAnsi="仿宋" w:cs="仿宋"/>
                <w:b/>
                <w:bCs/>
                <w:color w:val="auto"/>
                <w:kern w:val="0"/>
                <w:szCs w:val="21"/>
                <w:highlight w:val="none"/>
                <w:lang w:bidi="ar"/>
              </w:rPr>
            </w:pPr>
            <w:r>
              <w:rPr>
                <w:rFonts w:hint="eastAsia" w:ascii="仿宋" w:hAnsi="仿宋" w:cs="仿宋"/>
                <w:b/>
                <w:color w:val="auto"/>
                <w:sz w:val="18"/>
                <w:szCs w:val="18"/>
                <w:highlight w:val="none"/>
              </w:rPr>
              <w:t>★</w:t>
            </w:r>
            <w:r>
              <w:rPr>
                <w:rFonts w:hint="eastAsia" w:ascii="仿宋" w:hAnsi="仿宋" w:cs="仿宋"/>
                <w:b/>
                <w:bCs/>
                <w:color w:val="auto"/>
                <w:kern w:val="0"/>
                <w:szCs w:val="21"/>
                <w:highlight w:val="none"/>
                <w:lang w:bidi="ar"/>
              </w:rPr>
              <w:t>二、项目实施要求</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实施时使用施肥机进行施肥，将生物有机肥按0.2t/亩的标准均匀施撒于耕地表面，并及时利用</w:t>
            </w:r>
            <w:r>
              <w:rPr>
                <w:rFonts w:hint="eastAsia" w:ascii="仿宋" w:hAnsi="仿宋" w:cs="仿宋"/>
                <w:color w:val="auto"/>
                <w:szCs w:val="21"/>
                <w:highlight w:val="none"/>
              </w:rPr>
              <w:t>配置带GPS和计量计</w:t>
            </w:r>
            <w:r>
              <w:rPr>
                <w:rFonts w:hint="eastAsia" w:ascii="仿宋" w:hAnsi="仿宋" w:cs="仿宋"/>
                <w:color w:val="auto"/>
                <w:kern w:val="0"/>
                <w:szCs w:val="21"/>
                <w:highlight w:val="none"/>
                <w:lang w:bidi="ar"/>
              </w:rPr>
              <w:t>记录设备</w:t>
            </w:r>
            <w:r>
              <w:rPr>
                <w:rFonts w:hint="eastAsia" w:ascii="仿宋" w:hAnsi="仿宋" w:cs="仿宋"/>
                <w:color w:val="auto"/>
                <w:szCs w:val="21"/>
                <w:highlight w:val="none"/>
              </w:rPr>
              <w:t>的</w:t>
            </w:r>
            <w:r>
              <w:rPr>
                <w:rFonts w:hint="eastAsia" w:ascii="仿宋" w:hAnsi="仿宋" w:cs="仿宋"/>
                <w:color w:val="auto"/>
                <w:kern w:val="0"/>
                <w:szCs w:val="21"/>
                <w:highlight w:val="none"/>
                <w:lang w:bidi="ar"/>
              </w:rPr>
              <w:t>大型农机进行肥料抛洒。</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中标人提供大型专业的市场最先进的肥料抛洒设备，根据当地的农艺要求和机具性能选用喷福在5—15米范围内，作业速度在每小时40—60亩范围，作业机具要年轻化，不要老旧，作业质量好、肥料抛洒均匀，肥料抛洒过后重喷或漏喷现象不要超过总面积的10%，喷洒量、GPS轨迹、喷洒区域符合本项目要求，如果需多种肥料，搅和时须严格按照科学配比控制，不允许堆拌，设计区域范围内必须采用机械喷洒。</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深松整地作业模式：拖拉机带动单一深松功能的深松机具进行作业，作业深度一般要求超过25cm，拖拉机动力一般要求在80马力以上。</w:t>
            </w:r>
          </w:p>
          <w:tbl>
            <w:tblPr>
              <w:tblStyle w:val="14"/>
              <w:tblW w:w="3446" w:type="dxa"/>
              <w:tblInd w:w="93" w:type="dxa"/>
              <w:tblLayout w:type="fixed"/>
              <w:tblCellMar>
                <w:top w:w="0" w:type="dxa"/>
                <w:left w:w="108" w:type="dxa"/>
                <w:bottom w:w="0" w:type="dxa"/>
                <w:right w:w="108" w:type="dxa"/>
              </w:tblCellMar>
            </w:tblPr>
            <w:tblGrid>
              <w:gridCol w:w="612"/>
              <w:gridCol w:w="1113"/>
              <w:gridCol w:w="871"/>
              <w:gridCol w:w="850"/>
            </w:tblGrid>
            <w:tr>
              <w:tblPrEx>
                <w:tblCellMar>
                  <w:top w:w="0" w:type="dxa"/>
                  <w:left w:w="108" w:type="dxa"/>
                  <w:bottom w:w="0" w:type="dxa"/>
                  <w:right w:w="108" w:type="dxa"/>
                </w:tblCellMar>
              </w:tblPrEx>
              <w:trPr>
                <w:trHeight w:val="472" w:hRule="atLeast"/>
              </w:trPr>
              <w:tc>
                <w:tcPr>
                  <w:tcW w:w="612"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包号</w:t>
                  </w:r>
                </w:p>
              </w:tc>
              <w:tc>
                <w:tcPr>
                  <w:tcW w:w="1113" w:type="dxa"/>
                  <w:tcBorders>
                    <w:top w:val="single" w:color="000000" w:sz="4" w:space="0"/>
                    <w:left w:val="single" w:color="000000" w:sz="4" w:space="0"/>
                    <w:bottom w:val="single" w:color="auto" w:sz="4" w:space="0"/>
                    <w:right w:val="single" w:color="auto" w:sz="4" w:space="0"/>
                  </w:tcBorders>
                  <w:noWrap w:val="0"/>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村名</w:t>
                  </w:r>
                </w:p>
              </w:tc>
              <w:tc>
                <w:tcPr>
                  <w:tcW w:w="871"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数量</w:t>
                  </w:r>
                </w:p>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(亩)</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施用标准数量</w:t>
                  </w:r>
                </w:p>
              </w:tc>
            </w:tr>
            <w:tr>
              <w:tblPrEx>
                <w:tblCellMar>
                  <w:top w:w="0" w:type="dxa"/>
                  <w:left w:w="108" w:type="dxa"/>
                  <w:bottom w:w="0" w:type="dxa"/>
                  <w:right w:w="108" w:type="dxa"/>
                </w:tblCellMar>
              </w:tblPrEx>
              <w:trPr>
                <w:trHeight w:val="320" w:hRule="atLeast"/>
              </w:trPr>
              <w:tc>
                <w:tcPr>
                  <w:tcW w:w="612" w:type="dxa"/>
                  <w:vMerge w:val="restart"/>
                  <w:tcBorders>
                    <w:top w:val="single" w:color="auto" w:sz="4" w:space="0"/>
                    <w:left w:val="single" w:color="auto" w:sz="4" w:space="0"/>
                    <w:right w:val="single" w:color="auto" w:sz="4" w:space="0"/>
                  </w:tcBorders>
                  <w:noWrap/>
                  <w:vAlign w:val="center"/>
                </w:tcPr>
                <w:p>
                  <w:pPr>
                    <w:widowControl/>
                    <w:jc w:val="center"/>
                    <w:rPr>
                      <w:rFonts w:ascii="仿宋" w:hAnsi="仿宋" w:cs="仿宋"/>
                      <w:color w:val="auto"/>
                      <w:kern w:val="0"/>
                      <w:szCs w:val="21"/>
                      <w:highlight w:val="none"/>
                      <w:lang w:bidi="ar"/>
                    </w:rPr>
                  </w:pPr>
                  <w:r>
                    <w:rPr>
                      <w:rFonts w:hint="eastAsia" w:ascii="仿宋" w:hAnsi="仿宋" w:cs="仿宋"/>
                      <w:color w:val="auto"/>
                      <w:kern w:val="0"/>
                      <w:szCs w:val="21"/>
                      <w:highlight w:val="none"/>
                      <w:lang w:bidi="ar"/>
                    </w:rPr>
                    <w:t>001包</w:t>
                  </w:r>
                </w:p>
              </w:tc>
              <w:tc>
                <w:tcPr>
                  <w:tcW w:w="111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红土岭村</w:t>
                  </w:r>
                </w:p>
              </w:tc>
              <w:tc>
                <w:tcPr>
                  <w:tcW w:w="871" w:type="dxa"/>
                  <w:tcBorders>
                    <w:top w:val="single" w:color="000000" w:sz="4" w:space="0"/>
                    <w:left w:val="single" w:color="auto" w:sz="4" w:space="0"/>
                    <w:bottom w:val="single" w:color="000000" w:sz="4" w:space="0"/>
                    <w:right w:val="single" w:color="000000"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3115</w:t>
                  </w:r>
                </w:p>
              </w:tc>
              <w:tc>
                <w:tcPr>
                  <w:tcW w:w="850" w:type="dxa"/>
                  <w:vMerge w:val="restart"/>
                  <w:tcBorders>
                    <w:top w:val="single" w:color="000000" w:sz="4" w:space="0"/>
                    <w:left w:val="single" w:color="auto" w:sz="4" w:space="0"/>
                    <w:right w:val="single" w:color="000000"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szCs w:val="21"/>
                      <w:highlight w:val="none"/>
                    </w:rPr>
                    <w:t>0.2t/亩</w:t>
                  </w:r>
                </w:p>
              </w:tc>
            </w:tr>
            <w:tr>
              <w:tblPrEx>
                <w:tblCellMar>
                  <w:top w:w="0" w:type="dxa"/>
                  <w:left w:w="108" w:type="dxa"/>
                  <w:bottom w:w="0" w:type="dxa"/>
                  <w:right w:w="108" w:type="dxa"/>
                </w:tblCellMar>
              </w:tblPrEx>
              <w:trPr>
                <w:trHeight w:val="320" w:hRule="atLeast"/>
              </w:trPr>
              <w:tc>
                <w:tcPr>
                  <w:tcW w:w="612"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111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羊角峪村</w:t>
                  </w:r>
                </w:p>
              </w:tc>
              <w:tc>
                <w:tcPr>
                  <w:tcW w:w="871"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503</w:t>
                  </w:r>
                </w:p>
              </w:tc>
              <w:tc>
                <w:tcPr>
                  <w:tcW w:w="850" w:type="dxa"/>
                  <w:vMerge w:val="continue"/>
                  <w:tcBorders>
                    <w:left w:val="single" w:color="auto"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612"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111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松树沟村</w:t>
                  </w:r>
                </w:p>
              </w:tc>
              <w:tc>
                <w:tcPr>
                  <w:tcW w:w="871"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1036</w:t>
                  </w:r>
                </w:p>
              </w:tc>
              <w:tc>
                <w:tcPr>
                  <w:tcW w:w="850" w:type="dxa"/>
                  <w:vMerge w:val="continue"/>
                  <w:tcBorders>
                    <w:left w:val="single" w:color="auto"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612"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111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打白虎村</w:t>
                  </w:r>
                </w:p>
              </w:tc>
              <w:tc>
                <w:tcPr>
                  <w:tcW w:w="871"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2176</w:t>
                  </w:r>
                </w:p>
              </w:tc>
              <w:tc>
                <w:tcPr>
                  <w:tcW w:w="850" w:type="dxa"/>
                  <w:vMerge w:val="continue"/>
                  <w:tcBorders>
                    <w:left w:val="single" w:color="auto"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612"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111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b/>
                      <w:bCs/>
                      <w:color w:val="auto"/>
                      <w:kern w:val="0"/>
                      <w:szCs w:val="21"/>
                      <w:highlight w:val="none"/>
                      <w:lang w:bidi="ar"/>
                    </w:rPr>
                    <w:t>小计</w:t>
                  </w:r>
                </w:p>
              </w:tc>
              <w:tc>
                <w:tcPr>
                  <w:tcW w:w="871"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6830</w:t>
                  </w:r>
                </w:p>
              </w:tc>
              <w:tc>
                <w:tcPr>
                  <w:tcW w:w="850" w:type="dxa"/>
                  <w:vMerge w:val="continue"/>
                  <w:tcBorders>
                    <w:left w:val="single" w:color="auto"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612"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111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柳官村</w:t>
                  </w:r>
                </w:p>
              </w:tc>
              <w:tc>
                <w:tcPr>
                  <w:tcW w:w="871"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1959</w:t>
                  </w:r>
                </w:p>
              </w:tc>
              <w:tc>
                <w:tcPr>
                  <w:tcW w:w="850" w:type="dxa"/>
                  <w:vMerge w:val="continue"/>
                  <w:tcBorders>
                    <w:left w:val="single" w:color="auto"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612"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111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老达堡村</w:t>
                  </w:r>
                </w:p>
              </w:tc>
              <w:tc>
                <w:tcPr>
                  <w:tcW w:w="871"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1091</w:t>
                  </w:r>
                </w:p>
              </w:tc>
              <w:tc>
                <w:tcPr>
                  <w:tcW w:w="850" w:type="dxa"/>
                  <w:vMerge w:val="continue"/>
                  <w:tcBorders>
                    <w:left w:val="single" w:color="auto"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612"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111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缸窑岭村</w:t>
                  </w:r>
                </w:p>
              </w:tc>
              <w:tc>
                <w:tcPr>
                  <w:tcW w:w="871"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2520</w:t>
                  </w:r>
                </w:p>
              </w:tc>
              <w:tc>
                <w:tcPr>
                  <w:tcW w:w="850" w:type="dxa"/>
                  <w:vMerge w:val="continue"/>
                  <w:tcBorders>
                    <w:left w:val="single" w:color="auto"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612"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111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b/>
                      <w:bCs/>
                      <w:color w:val="auto"/>
                      <w:kern w:val="0"/>
                      <w:szCs w:val="21"/>
                      <w:highlight w:val="none"/>
                      <w:lang w:bidi="ar"/>
                    </w:rPr>
                    <w:t>小计</w:t>
                  </w:r>
                </w:p>
              </w:tc>
              <w:tc>
                <w:tcPr>
                  <w:tcW w:w="871"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5570</w:t>
                  </w:r>
                </w:p>
              </w:tc>
              <w:tc>
                <w:tcPr>
                  <w:tcW w:w="850" w:type="dxa"/>
                  <w:vMerge w:val="continue"/>
                  <w:tcBorders>
                    <w:left w:val="single" w:color="auto"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612"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111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马风村</w:t>
                  </w:r>
                </w:p>
              </w:tc>
              <w:tc>
                <w:tcPr>
                  <w:tcW w:w="871"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1165</w:t>
                  </w:r>
                </w:p>
              </w:tc>
              <w:tc>
                <w:tcPr>
                  <w:tcW w:w="850" w:type="dxa"/>
                  <w:vMerge w:val="continue"/>
                  <w:tcBorders>
                    <w:left w:val="single" w:color="auto"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612"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111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前马村</w:t>
                  </w:r>
                </w:p>
              </w:tc>
              <w:tc>
                <w:tcPr>
                  <w:tcW w:w="871"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1303</w:t>
                  </w:r>
                </w:p>
              </w:tc>
              <w:tc>
                <w:tcPr>
                  <w:tcW w:w="850" w:type="dxa"/>
                  <w:vMerge w:val="continue"/>
                  <w:tcBorders>
                    <w:left w:val="single" w:color="auto"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612"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1113"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孔马村</w:t>
                  </w:r>
                </w:p>
              </w:tc>
              <w:tc>
                <w:tcPr>
                  <w:tcW w:w="8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1510</w:t>
                  </w:r>
                </w:p>
              </w:tc>
              <w:tc>
                <w:tcPr>
                  <w:tcW w:w="850" w:type="dxa"/>
                  <w:vMerge w:val="continue"/>
                  <w:tcBorders>
                    <w:left w:val="single" w:color="auto"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612"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杨马村</w:t>
                  </w:r>
                </w:p>
              </w:tc>
              <w:tc>
                <w:tcPr>
                  <w:tcW w:w="8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2617</w:t>
                  </w:r>
                </w:p>
              </w:tc>
              <w:tc>
                <w:tcPr>
                  <w:tcW w:w="850" w:type="dxa"/>
                  <w:vMerge w:val="continue"/>
                  <w:tcBorders>
                    <w:left w:val="single" w:color="auto"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612"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范马村</w:t>
                  </w:r>
                </w:p>
              </w:tc>
              <w:tc>
                <w:tcPr>
                  <w:tcW w:w="8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505</w:t>
                  </w:r>
                </w:p>
              </w:tc>
              <w:tc>
                <w:tcPr>
                  <w:tcW w:w="850" w:type="dxa"/>
                  <w:vMerge w:val="continue"/>
                  <w:tcBorders>
                    <w:left w:val="single" w:color="auto"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612"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b/>
                      <w:bCs/>
                      <w:color w:val="auto"/>
                      <w:kern w:val="0"/>
                      <w:szCs w:val="21"/>
                      <w:highlight w:val="none"/>
                      <w:lang w:bidi="ar"/>
                    </w:rPr>
                    <w:t>小计</w:t>
                  </w:r>
                </w:p>
              </w:tc>
              <w:tc>
                <w:tcPr>
                  <w:tcW w:w="8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7100</w:t>
                  </w:r>
                </w:p>
              </w:tc>
              <w:tc>
                <w:tcPr>
                  <w:tcW w:w="850" w:type="dxa"/>
                  <w:vMerge w:val="continue"/>
                  <w:tcBorders>
                    <w:left w:val="single" w:color="auto"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612" w:type="dxa"/>
                  <w:vMerge w:val="continue"/>
                  <w:tcBorders>
                    <w:left w:val="single" w:color="auto" w:sz="4" w:space="0"/>
                    <w:bottom w:val="single" w:color="000000"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1113"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合计</w:t>
                  </w:r>
                </w:p>
              </w:tc>
              <w:tc>
                <w:tcPr>
                  <w:tcW w:w="8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19500</w:t>
                  </w:r>
                </w:p>
              </w:tc>
              <w:tc>
                <w:tcPr>
                  <w:tcW w:w="850" w:type="dxa"/>
                  <w:vMerge w:val="continue"/>
                  <w:tcBorders>
                    <w:left w:val="single" w:color="auto"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bl>
          <w:p>
            <w:pPr>
              <w:widowControl/>
              <w:jc w:val="left"/>
              <w:outlineLvl w:val="1"/>
              <w:rPr>
                <w:rFonts w:hint="eastAsia" w:ascii="仿宋" w:hAnsi="仿宋" w:cs="仿宋"/>
                <w:b/>
                <w:bCs/>
                <w:color w:val="auto"/>
                <w:kern w:val="0"/>
                <w:szCs w:val="21"/>
                <w:highlight w:val="none"/>
                <w:lang w:bidi="ar"/>
              </w:rPr>
            </w:pPr>
            <w:r>
              <w:rPr>
                <w:rFonts w:hint="eastAsia" w:ascii="仿宋" w:hAnsi="仿宋" w:cs="仿宋"/>
                <w:b/>
                <w:color w:val="auto"/>
                <w:sz w:val="18"/>
                <w:szCs w:val="18"/>
                <w:highlight w:val="none"/>
              </w:rPr>
              <w:t>★</w:t>
            </w:r>
            <w:r>
              <w:rPr>
                <w:rFonts w:hint="eastAsia" w:ascii="仿宋" w:hAnsi="仿宋" w:cs="仿宋"/>
                <w:b/>
                <w:bCs/>
                <w:color w:val="auto"/>
                <w:kern w:val="0"/>
                <w:szCs w:val="21"/>
                <w:highlight w:val="none"/>
                <w:lang w:bidi="ar"/>
              </w:rPr>
              <w:t>三、检测要求</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（1）检测内容</w:t>
            </w:r>
          </w:p>
          <w:p>
            <w:pPr>
              <w:widowControl/>
              <w:ind w:firstLine="630" w:firstLineChars="3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检测点位：本项目施肥前（上批粮食作物收割后）肥料运输到达采购人指定地点后，采购人将对肥料进行随机抽样检测，并对供货肥料与投标文件中所报肥料信息等进行对比。本项目所有肥料施撒完成后,采购人将在项目涉及的36000亩范围内随机抽样检测。采样时，一要避开路边、地头、田埂、沟边、肥堆点、根茬点、局部特殊地形等特殊部位；二要按照“等量”和“多点混合”的原则，在采样田块按“S”型或棋盘布点等方法布设采集5个以上分样点混合均匀后，再采用“四分法”留存土壤样品；三要在采样后注意挑出根系、秸秆、石块、虫体等杂物，以免给土壤检测带来误差。并测量出样点坐标（2000国家大地坐标系），标出其平面坐标及检测点位分布图；</w:t>
            </w:r>
          </w:p>
          <w:p>
            <w:pPr>
              <w:widowControl/>
              <w:ind w:firstLine="630" w:firstLineChars="3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2）检测项目：检测点土壤中的ph值、有机质含量、有效磷、缓效钾、速效钾、全氮共计6项；</w:t>
            </w:r>
          </w:p>
          <w:p>
            <w:pPr>
              <w:widowControl/>
              <w:ind w:firstLine="630" w:firstLineChars="3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3）检测时间和频次：施肥前（上批粮食作物收割后）随机抽样检测一次，施肥后（下批粮食作物种植前）随机抽样检测一次，共计两次。</w:t>
            </w:r>
          </w:p>
          <w:p>
            <w:pPr>
              <w:widowControl/>
              <w:ind w:firstLine="630" w:firstLineChars="3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4）检测方法及仪器设备</w:t>
            </w:r>
          </w:p>
          <w:tbl>
            <w:tblPr>
              <w:tblStyle w:val="14"/>
              <w:tblW w:w="3674" w:type="dxa"/>
              <w:tblInd w:w="0" w:type="dxa"/>
              <w:tblLayout w:type="fixed"/>
              <w:tblCellMar>
                <w:top w:w="0" w:type="dxa"/>
                <w:left w:w="108" w:type="dxa"/>
                <w:bottom w:w="0" w:type="dxa"/>
                <w:right w:w="108" w:type="dxa"/>
              </w:tblCellMar>
            </w:tblPr>
            <w:tblGrid>
              <w:gridCol w:w="313"/>
              <w:gridCol w:w="438"/>
              <w:gridCol w:w="2113"/>
              <w:gridCol w:w="810"/>
            </w:tblGrid>
            <w:tr>
              <w:tblPrEx>
                <w:tblCellMar>
                  <w:top w:w="0" w:type="dxa"/>
                  <w:left w:w="108" w:type="dxa"/>
                  <w:bottom w:w="0" w:type="dxa"/>
                  <w:right w:w="108" w:type="dxa"/>
                </w:tblCellMar>
              </w:tblPrEx>
              <w:trPr>
                <w:trHeight w:val="270" w:hRule="atLeast"/>
                <w:tblHeader/>
              </w:trPr>
              <w:tc>
                <w:tcPr>
                  <w:tcW w:w="42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序号</w:t>
                  </w:r>
                </w:p>
              </w:tc>
              <w:tc>
                <w:tcPr>
                  <w:tcW w:w="59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检测项目</w:t>
                  </w:r>
                </w:p>
              </w:tc>
              <w:tc>
                <w:tcPr>
                  <w:tcW w:w="2874"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分析方法</w:t>
                  </w:r>
                </w:p>
              </w:tc>
              <w:tc>
                <w:tcPr>
                  <w:tcW w:w="110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分析仪器</w:t>
                  </w:r>
                </w:p>
              </w:tc>
            </w:tr>
            <w:tr>
              <w:tblPrEx>
                <w:tblCellMar>
                  <w:top w:w="0" w:type="dxa"/>
                  <w:left w:w="108" w:type="dxa"/>
                  <w:bottom w:w="0" w:type="dxa"/>
                  <w:right w:w="108" w:type="dxa"/>
                </w:tblCellMar>
              </w:tblPrEx>
              <w:trPr>
                <w:trHeight w:val="90" w:hRule="atLeast"/>
              </w:trPr>
              <w:tc>
                <w:tcPr>
                  <w:tcW w:w="42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w:t>
                  </w:r>
                </w:p>
              </w:tc>
              <w:tc>
                <w:tcPr>
                  <w:tcW w:w="596" w:type="pct"/>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PH</w:t>
                  </w:r>
                </w:p>
              </w:tc>
              <w:tc>
                <w:tcPr>
                  <w:tcW w:w="2874"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土壤检测 第2部分：土壤pH的测定（NY/T 1121.2-2006）</w:t>
                  </w:r>
                </w:p>
              </w:tc>
              <w:tc>
                <w:tcPr>
                  <w:tcW w:w="1102" w:type="pct"/>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PH计</w:t>
                  </w:r>
                </w:p>
              </w:tc>
            </w:tr>
            <w:tr>
              <w:tblPrEx>
                <w:tblCellMar>
                  <w:top w:w="0" w:type="dxa"/>
                  <w:left w:w="108" w:type="dxa"/>
                  <w:bottom w:w="0" w:type="dxa"/>
                  <w:right w:w="108" w:type="dxa"/>
                </w:tblCellMar>
              </w:tblPrEx>
              <w:trPr>
                <w:trHeight w:val="294" w:hRule="atLeast"/>
              </w:trPr>
              <w:tc>
                <w:tcPr>
                  <w:tcW w:w="427" w:type="pct"/>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w:t>
                  </w:r>
                </w:p>
              </w:tc>
              <w:tc>
                <w:tcPr>
                  <w:tcW w:w="596"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有机质</w:t>
                  </w:r>
                </w:p>
              </w:tc>
              <w:tc>
                <w:tcPr>
                  <w:tcW w:w="2874" w:type="pct"/>
                  <w:tcBorders>
                    <w:top w:val="nil"/>
                    <w:left w:val="nil"/>
                    <w:bottom w:val="single" w:color="auto" w:sz="4" w:space="0"/>
                    <w:right w:val="single" w:color="auto" w:sz="4" w:space="0"/>
                  </w:tcBorders>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土壤检测 第6部分：土壤有机质的测定（NY/T 1121.6-2006）</w:t>
                  </w:r>
                </w:p>
              </w:tc>
              <w:tc>
                <w:tcPr>
                  <w:tcW w:w="1102"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数字瓶口滴定器</w:t>
                  </w:r>
                </w:p>
              </w:tc>
            </w:tr>
            <w:tr>
              <w:tblPrEx>
                <w:tblCellMar>
                  <w:top w:w="0" w:type="dxa"/>
                  <w:left w:w="108" w:type="dxa"/>
                  <w:bottom w:w="0" w:type="dxa"/>
                  <w:right w:w="108" w:type="dxa"/>
                </w:tblCellMar>
              </w:tblPrEx>
              <w:trPr>
                <w:trHeight w:val="234" w:hRule="atLeast"/>
              </w:trPr>
              <w:tc>
                <w:tcPr>
                  <w:tcW w:w="427" w:type="pct"/>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3</w:t>
                  </w:r>
                </w:p>
              </w:tc>
              <w:tc>
                <w:tcPr>
                  <w:tcW w:w="596"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有效磷</w:t>
                  </w:r>
                </w:p>
              </w:tc>
              <w:tc>
                <w:tcPr>
                  <w:tcW w:w="2874" w:type="pct"/>
                  <w:tcBorders>
                    <w:top w:val="nil"/>
                    <w:left w:val="nil"/>
                    <w:bottom w:val="single" w:color="auto" w:sz="4" w:space="0"/>
                    <w:right w:val="single" w:color="auto" w:sz="4" w:space="0"/>
                  </w:tcBorders>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土壤检测 第7部分：土壤有效磷的测定（NY/T 1121.7-2014）</w:t>
                  </w:r>
                </w:p>
              </w:tc>
              <w:tc>
                <w:tcPr>
                  <w:tcW w:w="1102"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紫外分光光度计</w:t>
                  </w:r>
                </w:p>
              </w:tc>
            </w:tr>
            <w:tr>
              <w:tblPrEx>
                <w:tblCellMar>
                  <w:top w:w="0" w:type="dxa"/>
                  <w:left w:w="108" w:type="dxa"/>
                  <w:bottom w:w="0" w:type="dxa"/>
                  <w:right w:w="108" w:type="dxa"/>
                </w:tblCellMar>
              </w:tblPrEx>
              <w:trPr>
                <w:trHeight w:val="335" w:hRule="atLeast"/>
              </w:trPr>
              <w:tc>
                <w:tcPr>
                  <w:tcW w:w="427" w:type="pct"/>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4</w:t>
                  </w:r>
                </w:p>
              </w:tc>
              <w:tc>
                <w:tcPr>
                  <w:tcW w:w="596"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缓效钾</w:t>
                  </w:r>
                </w:p>
              </w:tc>
              <w:tc>
                <w:tcPr>
                  <w:tcW w:w="2874" w:type="pct"/>
                  <w:tcBorders>
                    <w:top w:val="nil"/>
                    <w:left w:val="nil"/>
                    <w:bottom w:val="single" w:color="auto" w:sz="4" w:space="0"/>
                    <w:right w:val="single" w:color="auto" w:sz="4" w:space="0"/>
                  </w:tcBorders>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土壤速效钾和缓效钾含量的测定(NY/T 889-2004)</w:t>
                  </w:r>
                </w:p>
              </w:tc>
              <w:tc>
                <w:tcPr>
                  <w:tcW w:w="1102"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火焰光度计</w:t>
                  </w:r>
                </w:p>
              </w:tc>
            </w:tr>
            <w:tr>
              <w:tblPrEx>
                <w:tblCellMar>
                  <w:top w:w="0" w:type="dxa"/>
                  <w:left w:w="108" w:type="dxa"/>
                  <w:bottom w:w="0" w:type="dxa"/>
                  <w:right w:w="108" w:type="dxa"/>
                </w:tblCellMar>
              </w:tblPrEx>
              <w:trPr>
                <w:trHeight w:val="335" w:hRule="atLeast"/>
              </w:trPr>
              <w:tc>
                <w:tcPr>
                  <w:tcW w:w="427" w:type="pct"/>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5</w:t>
                  </w:r>
                </w:p>
              </w:tc>
              <w:tc>
                <w:tcPr>
                  <w:tcW w:w="596"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速效钾</w:t>
                  </w:r>
                </w:p>
              </w:tc>
              <w:tc>
                <w:tcPr>
                  <w:tcW w:w="2874" w:type="pct"/>
                  <w:tcBorders>
                    <w:top w:val="nil"/>
                    <w:left w:val="nil"/>
                    <w:bottom w:val="single" w:color="auto" w:sz="4" w:space="0"/>
                    <w:right w:val="single" w:color="auto" w:sz="4" w:space="0"/>
                  </w:tcBorders>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土壤速效钾和缓效钾含量的测定(NY/T 889-2004)</w:t>
                  </w:r>
                </w:p>
              </w:tc>
              <w:tc>
                <w:tcPr>
                  <w:tcW w:w="1102"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火焰光度计</w:t>
                  </w:r>
                </w:p>
              </w:tc>
            </w:tr>
            <w:tr>
              <w:tblPrEx>
                <w:tblCellMar>
                  <w:top w:w="0" w:type="dxa"/>
                  <w:left w:w="108" w:type="dxa"/>
                  <w:bottom w:w="0" w:type="dxa"/>
                  <w:right w:w="108" w:type="dxa"/>
                </w:tblCellMar>
              </w:tblPrEx>
              <w:trPr>
                <w:trHeight w:val="472" w:hRule="atLeast"/>
              </w:trPr>
              <w:tc>
                <w:tcPr>
                  <w:tcW w:w="427" w:type="pct"/>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6</w:t>
                  </w:r>
                </w:p>
              </w:tc>
              <w:tc>
                <w:tcPr>
                  <w:tcW w:w="596"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全氮</w:t>
                  </w:r>
                </w:p>
              </w:tc>
              <w:tc>
                <w:tcPr>
                  <w:tcW w:w="2874" w:type="pct"/>
                  <w:tcBorders>
                    <w:top w:val="nil"/>
                    <w:left w:val="nil"/>
                    <w:bottom w:val="single" w:color="auto" w:sz="4" w:space="0"/>
                    <w:right w:val="single" w:color="auto" w:sz="4" w:space="0"/>
                  </w:tcBorders>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土壤检测 第24部分：土壤全氮的测定自动定氮仪法（NY/T1121.24-2012）</w:t>
                  </w:r>
                </w:p>
              </w:tc>
              <w:tc>
                <w:tcPr>
                  <w:tcW w:w="1102"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全自动定氮仪</w:t>
                  </w:r>
                </w:p>
              </w:tc>
            </w:tr>
          </w:tbl>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（2）成果提交</w:t>
            </w:r>
          </w:p>
          <w:p>
            <w:pPr>
              <w:widowControl/>
              <w:ind w:firstLine="630" w:firstLineChars="3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1）带有CMA资质认可的检测报告及过程的质控报告。</w:t>
            </w:r>
          </w:p>
          <w:p>
            <w:pPr>
              <w:widowControl/>
              <w:ind w:firstLine="630" w:firstLineChars="3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2）综合分析报告，（包含施肥前后检测指标的变化，谱图分析、图片材料等）。</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（3）检测其他要求</w:t>
            </w:r>
          </w:p>
          <w:p>
            <w:pPr>
              <w:widowControl/>
              <w:ind w:firstLine="630" w:firstLineChars="3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1）检测所发生的全部费用由中标人支付。</w:t>
            </w:r>
          </w:p>
          <w:p>
            <w:pPr>
              <w:widowControl/>
              <w:ind w:firstLine="630" w:firstLineChars="3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2）检测全过程（包括但不限于取样、送检、检测及检测机构等）无需中标人接触。</w:t>
            </w:r>
          </w:p>
          <w:p>
            <w:pPr>
              <w:widowControl/>
              <w:jc w:val="left"/>
              <w:outlineLvl w:val="1"/>
              <w:rPr>
                <w:rFonts w:hint="eastAsia" w:ascii="仿宋" w:hAnsi="仿宋" w:cs="仿宋"/>
                <w:b/>
                <w:bCs/>
                <w:color w:val="auto"/>
                <w:kern w:val="0"/>
                <w:szCs w:val="21"/>
                <w:highlight w:val="none"/>
                <w:lang w:bidi="ar"/>
              </w:rPr>
            </w:pPr>
            <w:r>
              <w:rPr>
                <w:rFonts w:hint="eastAsia" w:ascii="仿宋" w:hAnsi="仿宋" w:cs="仿宋"/>
                <w:b/>
                <w:color w:val="auto"/>
                <w:sz w:val="18"/>
                <w:szCs w:val="18"/>
                <w:highlight w:val="none"/>
              </w:rPr>
              <w:t>★</w:t>
            </w:r>
            <w:r>
              <w:rPr>
                <w:rFonts w:hint="eastAsia" w:ascii="仿宋" w:hAnsi="仿宋" w:cs="仿宋"/>
                <w:b/>
                <w:bCs/>
                <w:color w:val="auto"/>
                <w:kern w:val="0"/>
                <w:szCs w:val="21"/>
                <w:highlight w:val="none"/>
                <w:lang w:bidi="ar"/>
              </w:rPr>
              <w:t>四、售后服务要求</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中标人应保证在供货时所提供产品均为质量合格产品新产品，质量符合国家承认的相应标准，同时产品的包装、标签、说明书等符合国家有关规定；供货时，提供与所供批次产品金额相对应的发票原件，并保证与投标文件中承诺的产品质量、产品名称、品牌、型号、规格、数量、原产地、制造商名称相一致，以确保现场使用安全有效，不存在非法转包的情况。否则，采购人有权单方面解除合同，货款不予支付。如给采购人造成损失，损失部分由中标人承担。</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2、如因中标人所供产品质量问题或抽样检测不合格，所导致所产生的赔偿责任等所有责任全部由中标人直接承担，给采购人造成损失的，损失部分由中标人承担，采购人可单方面解除合同，货款不予支付。</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3、产品在使用过程中出现问题，提供7×24小时电话技术支持，技术服务人员到达现场响应时间为4小时内，并于6小时内解决，特殊情况在24小时内无法解决的，应采取应急措施正常使用。</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4、中标人应安排技术服务人员现场施撒服务，对验收时发现的破损、近效期产品或其它不符合标准的产品，采购人有权拒收，中标人应在7日内负责无条件更换同类新的产品；因乙方储存不当造成的质量损坏及损失，采购人不负责任，由中标人自行解决并承担责任。</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5、施撒服务具体要求：</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（1）按采购人要求提供现场技术支持和服务，进行规范现场施撒肥服务。</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（2）按照施撒定量均匀进行施撒，施撒符合本项目采购需求。</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（3）产品送达施撒现场后，进行检斤，将检斤见证签字（监理单位、中标人、采购单位）。</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4）施撒所需设备车辆需安装GPS定位系统，GPS定位系统必须保证随时能够导出本项目的卫星数据，施撒全过程录像（必要时使用无人机录像设备），中标人施撒工作完成后，施撒全过程影像资料、GPS定位系统所有数据资料等交于采购人存档。施撒所需设备车辆未安装GPS定位系统、施撒全过程若无全程录像（或录像不全），采购人可单方面解除合同，货款不予支付。</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（5）因不可抗力因素，导致大型专业肥料抛洒设备无法进场，必要时可采用无人机进行施撒肥料，若使用无人机设备施撒肥料，喷洒量、GPS轨迹、喷洒区域符合本项目要求。</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6、中标人必须按实际成交价格和每批次为采购人提供的产品数量如实开具发票，采购人将根据中标人提供的发票付款。</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7、中标人须配置专业技术人员提供现场技术支持与培训，施撒服务，保证采购人的使用人员可正常使用本产品。</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8、投标人应提供产品的相关手续验收：投标人应向采购人提供详细的出厂质量检验标准、质量证明、出厂合格证。</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9、投标人应保证在整个投标过程中诚实守信，如有提供劣质产品，虚报、欺瞒采购人等情形，采购人将拒绝付款（包括已使用部分）并退货，如因此给采购人造成损失，损失部分由投标人自行承担，已签合同自行解除，投标人应承担相应的法律责任。</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10、在合同履行期限内，如出现供货时间严重滞后，或者未能在合同履行期限内完成供货或施撒任务，影响村民春种或采购使用的情形，采购人可以扣履约保证金中相应比例。情节严重的，采购人有权终止合同，余款不予支付，给采购人所造成的相应损失，采购人保留追偿的权利。</w:t>
            </w:r>
          </w:p>
          <w:p>
            <w:pPr>
              <w:widowControl/>
              <w:jc w:val="left"/>
              <w:outlineLvl w:val="1"/>
              <w:rPr>
                <w:rFonts w:hint="eastAsia" w:ascii="仿宋" w:hAnsi="仿宋" w:cs="仿宋"/>
                <w:b/>
                <w:bCs/>
                <w:color w:val="auto"/>
                <w:kern w:val="0"/>
                <w:szCs w:val="21"/>
                <w:highlight w:val="none"/>
                <w:lang w:bidi="ar"/>
              </w:rPr>
            </w:pPr>
            <w:r>
              <w:rPr>
                <w:rFonts w:hint="eastAsia" w:ascii="仿宋" w:hAnsi="仿宋" w:cs="仿宋"/>
                <w:b/>
                <w:bCs/>
                <w:color w:val="auto"/>
                <w:kern w:val="0"/>
                <w:szCs w:val="21"/>
                <w:highlight w:val="none"/>
                <w:lang w:bidi="ar"/>
              </w:rPr>
              <w:t>五、其他要求及说明</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1、本次投标报价应包含本项目所涉及的运输、保险、人工、材料、验收、现场施撒服务、税金等所有费用，直到验收合格为止，采购人不再支付除合同价款以外的任何费用。</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2、所有新购产品必须是全新出厂的，如果发现因包装或运输不当引起的损坏失效，投标人应负责更换，采购人可通过出厂证明，包装及数量等方面对货物进行验收，也可以随时对产品质量及数量进行抽验。</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3、投标人在投标文件中应标明所投所有产品的品牌、型号、技术参数、产地、生产厂家等相关信息。投标文件中也可附图片、说明书、合格证明、认证证书等资料予以补充说明。</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4、中标人应如期保质保量的完成本项目所涉及的所有内容，如未达到采购要求，应及时进行调整，直到完全满足其使用要求，如果最终的调整仍达不到要求，采购人有权利要求中标人承担违约责任，违约金从合同价款中扣除，严重不满足时，采购人有权终止合同，并保留相关损失追偿的权利。</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5本技术规格和技术要求所列货物的技术、规格功能作为投标人本项目投标满足的最基本要求，投标人所提供的货物在技术与功能等方面应等同于或高于上述技术、功能要求。并未对一切细节做出全部详细规定，也未充分引述有关标准和规范的条文，投标人所有与本项目有关的技术标准均应不低于报价时已颁布的国家和行业标准，或相应的国际标准的有关条文。使用最新的专利和保密专利需特别说明。检测标准依据国家现行标准执行。</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6、投标人必须为所有被培训人员提供培训用文字资料和讲义等相关用品，所有的资料必须是中文或英文书写。投标方必需提供但不限于以下内容的培训：现场施肥技术支持，施撒服务、常见问题现象及诊断、解决办法，培训费用（场地、人员等）包含在投标总报价中。</w:t>
            </w:r>
          </w:p>
          <w:p>
            <w:pPr>
              <w:widowControl/>
              <w:ind w:firstLine="420" w:firstLineChars="200"/>
              <w:jc w:val="left"/>
              <w:rPr>
                <w:rFonts w:hint="eastAsia" w:ascii="仿宋" w:hAnsi="仿宋" w:cs="仿宋"/>
                <w:color w:val="auto"/>
                <w:szCs w:val="21"/>
                <w:highlight w:val="none"/>
              </w:rPr>
            </w:pPr>
            <w:r>
              <w:rPr>
                <w:rFonts w:hint="eastAsia" w:ascii="仿宋" w:hAnsi="仿宋" w:cs="仿宋"/>
                <w:color w:val="auto"/>
                <w:kern w:val="0"/>
                <w:szCs w:val="21"/>
                <w:highlight w:val="none"/>
                <w:lang w:bidi="ar"/>
              </w:rPr>
              <w:t>7、本技术规格参数提出的各项功能要求和技术指标是对本项目的最基本要求，并未对一切细节做出全部详细规定，也未充分引述有关标准和规范的条文，投标人所有与本项目有关的技术标准均应不低于报价时已颁布的国家和行业标准，或相应的国际标准的有关条文</w:t>
            </w:r>
            <w:r>
              <w:rPr>
                <w:rFonts w:hint="eastAsia" w:ascii="仿宋" w:hAnsi="仿宋" w:cs="仿宋"/>
                <w:color w:val="auto"/>
                <w:kern w:val="0"/>
                <w:sz w:val="22"/>
                <w:szCs w:val="22"/>
                <w:highlight w:val="none"/>
                <w:lang w:bidi="ar"/>
              </w:rPr>
              <w:t>。</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tabs>
                <w:tab w:val="left" w:pos="0"/>
              </w:tabs>
              <w:adjustRightInd w:val="0"/>
              <w:snapToGrid w:val="0"/>
              <w:jc w:val="center"/>
              <w:rPr>
                <w:rFonts w:hint="eastAsia" w:ascii="仿宋" w:hAnsi="仿宋" w:cs="仿宋"/>
                <w:color w:val="auto"/>
                <w:kern w:val="0"/>
                <w:szCs w:val="21"/>
                <w:highlight w:val="none"/>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240" w:lineRule="exact"/>
              <w:jc w:val="center"/>
              <w:rPr>
                <w:rFonts w:hint="eastAsia" w:ascii="仿宋" w:hAnsi="仿宋" w:cs="仿宋"/>
                <w:color w:val="auto"/>
                <w:kern w:val="0"/>
                <w:szCs w:val="21"/>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240" w:lineRule="exact"/>
              <w:jc w:val="center"/>
              <w:rPr>
                <w:rFonts w:hint="eastAsia" w:ascii="仿宋" w:hAnsi="仿宋" w:cs="仿宋"/>
                <w:color w:val="auto"/>
                <w:kern w:val="0"/>
                <w:szCs w:val="21"/>
                <w:highlight w:val="none"/>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240" w:lineRule="exact"/>
              <w:jc w:val="center"/>
              <w:rPr>
                <w:rFonts w:hint="eastAsia" w:ascii="仿宋" w:hAnsi="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trPr>
        <w:tc>
          <w:tcPr>
            <w:tcW w:w="38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hanging="1"/>
              <w:jc w:val="center"/>
              <w:rPr>
                <w:rFonts w:hint="eastAsia" w:ascii="仿宋" w:hAnsi="仿宋" w:cs="仿宋"/>
                <w:color w:val="auto"/>
                <w:szCs w:val="21"/>
                <w:highlight w:val="none"/>
              </w:rPr>
            </w:pPr>
            <w:r>
              <w:rPr>
                <w:rFonts w:hint="eastAsia" w:ascii="仿宋" w:hAnsi="仿宋" w:cs="仿宋"/>
                <w:color w:val="auto"/>
                <w:szCs w:val="21"/>
                <w:highlight w:val="none"/>
              </w:rPr>
              <w:t>其它</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tabs>
                <w:tab w:val="left" w:pos="-61"/>
              </w:tabs>
              <w:adjustRightInd w:val="0"/>
              <w:snapToGrid w:val="0"/>
              <w:ind w:right="-54" w:rightChars="-26"/>
              <w:jc w:val="left"/>
              <w:rPr>
                <w:rFonts w:hint="eastAsia" w:ascii="仿宋" w:hAnsi="仿宋" w:cs="仿宋"/>
                <w:color w:val="auto"/>
                <w:kern w:val="0"/>
                <w:szCs w:val="21"/>
                <w:highlight w:val="none"/>
              </w:rPr>
            </w:pPr>
            <w:r>
              <w:rPr>
                <w:rFonts w:hint="eastAsia" w:ascii="仿宋" w:hAnsi="仿宋" w:cs="仿宋"/>
                <w:color w:val="auto"/>
                <w:szCs w:val="21"/>
                <w:highlight w:val="none"/>
              </w:rPr>
              <w:t>采购单位未提供需求而投标人认为需说明及补充的内容在此填列</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240" w:lineRule="exact"/>
              <w:jc w:val="center"/>
              <w:rPr>
                <w:rFonts w:hint="eastAsia" w:ascii="仿宋" w:hAnsi="仿宋" w:cs="仿宋"/>
                <w:color w:val="auto"/>
                <w:kern w:val="0"/>
                <w:szCs w:val="21"/>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240" w:lineRule="exact"/>
              <w:jc w:val="center"/>
              <w:rPr>
                <w:rFonts w:hint="eastAsia" w:ascii="仿宋" w:hAnsi="仿宋" w:cs="仿宋"/>
                <w:color w:val="auto"/>
                <w:kern w:val="0"/>
                <w:szCs w:val="21"/>
                <w:highlight w:val="none"/>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240" w:lineRule="exact"/>
              <w:jc w:val="center"/>
              <w:rPr>
                <w:rFonts w:hint="eastAsia" w:ascii="仿宋" w:hAnsi="仿宋" w:cs="仿宋"/>
                <w:color w:val="auto"/>
                <w:kern w:val="0"/>
                <w:szCs w:val="21"/>
                <w:highlight w:val="none"/>
              </w:rPr>
            </w:pPr>
          </w:p>
        </w:tc>
      </w:tr>
    </w:tbl>
    <w:p>
      <w:pPr>
        <w:adjustRightInd w:val="0"/>
        <w:snapToGrid w:val="0"/>
        <w:spacing w:line="360" w:lineRule="auto"/>
        <w:ind w:right="105" w:rightChars="50"/>
        <w:jc w:val="left"/>
        <w:rPr>
          <w:rFonts w:hint="eastAsia" w:ascii="仿宋" w:hAnsi="仿宋" w:cs="仿宋"/>
          <w:b/>
          <w:color w:val="auto"/>
          <w:szCs w:val="21"/>
          <w:highlight w:val="none"/>
        </w:rPr>
      </w:pPr>
      <w:r>
        <w:rPr>
          <w:rFonts w:hint="eastAsia" w:ascii="仿宋" w:hAnsi="仿宋" w:cs="仿宋"/>
          <w:b/>
          <w:color w:val="auto"/>
          <w:szCs w:val="21"/>
          <w:highlight w:val="none"/>
        </w:rPr>
        <w:t>填表要求：</w:t>
      </w:r>
    </w:p>
    <w:p>
      <w:pPr>
        <w:adjustRightInd w:val="0"/>
        <w:snapToGrid w:val="0"/>
        <w:spacing w:line="360" w:lineRule="auto"/>
        <w:rPr>
          <w:rFonts w:hint="eastAsia" w:ascii="仿宋" w:hAnsi="仿宋" w:cs="仿宋"/>
          <w:color w:val="auto"/>
          <w:szCs w:val="21"/>
          <w:highlight w:val="none"/>
        </w:rPr>
      </w:pPr>
      <w:r>
        <w:rPr>
          <w:rFonts w:hint="eastAsia" w:ascii="仿宋" w:hAnsi="仿宋" w:cs="仿宋"/>
          <w:color w:val="auto"/>
          <w:szCs w:val="21"/>
          <w:highlight w:val="none"/>
        </w:rPr>
        <w:t>1．“投标文件响应内容”一栏由投标人按照招标文件要求填写并进行逐项响应。</w:t>
      </w:r>
    </w:p>
    <w:p>
      <w:pPr>
        <w:adjustRightInd w:val="0"/>
        <w:snapToGrid w:val="0"/>
        <w:spacing w:line="360" w:lineRule="auto"/>
        <w:rPr>
          <w:rFonts w:hint="eastAsia" w:ascii="仿宋" w:hAnsi="仿宋" w:cs="仿宋"/>
          <w:color w:val="auto"/>
          <w:szCs w:val="21"/>
          <w:highlight w:val="none"/>
        </w:rPr>
      </w:pPr>
      <w:r>
        <w:rPr>
          <w:rFonts w:hint="eastAsia" w:ascii="仿宋" w:hAnsi="仿宋" w:cs="仿宋"/>
          <w:color w:val="auto"/>
          <w:szCs w:val="21"/>
          <w:highlight w:val="none"/>
        </w:rPr>
        <w:t>2．“偏离程度”一栏根据“投标文件响应内容”与招标文件逐项对照的结果填写。偏离必须用 “正偏离、负偏离或无偏离”三个名称中的一种进行标注。</w:t>
      </w:r>
    </w:p>
    <w:p>
      <w:pPr>
        <w:adjustRightInd w:val="0"/>
        <w:snapToGrid w:val="0"/>
        <w:spacing w:line="360" w:lineRule="auto"/>
        <w:rPr>
          <w:rFonts w:hint="eastAsia" w:ascii="仿宋" w:hAnsi="仿宋" w:cs="仿宋"/>
          <w:color w:val="auto"/>
          <w:szCs w:val="21"/>
          <w:highlight w:val="none"/>
        </w:rPr>
      </w:pPr>
      <w:r>
        <w:rPr>
          <w:rFonts w:hint="eastAsia" w:ascii="仿宋" w:hAnsi="仿宋" w:cs="仿宋"/>
          <w:color w:val="auto"/>
          <w:szCs w:val="21"/>
          <w:highlight w:val="none"/>
        </w:rPr>
        <w:t>3．“偏离说明”一栏由投标人对偏离的情况做详细说明。</w:t>
      </w:r>
    </w:p>
    <w:p>
      <w:pPr>
        <w:adjustRightInd w:val="0"/>
        <w:snapToGrid w:val="0"/>
        <w:spacing w:line="360" w:lineRule="auto"/>
        <w:rPr>
          <w:rFonts w:hint="eastAsia" w:ascii="仿宋" w:hAnsi="仿宋" w:cs="仿宋"/>
          <w:color w:val="auto"/>
          <w:szCs w:val="21"/>
          <w:highlight w:val="none"/>
        </w:rPr>
      </w:pPr>
    </w:p>
    <w:p>
      <w:pPr>
        <w:adjustRightInd w:val="0"/>
        <w:snapToGrid w:val="0"/>
        <w:spacing w:line="360" w:lineRule="auto"/>
        <w:rPr>
          <w:rFonts w:hint="eastAsia" w:ascii="仿宋" w:hAnsi="仿宋" w:cs="仿宋"/>
          <w:color w:val="auto"/>
          <w:szCs w:val="21"/>
          <w:highlight w:val="none"/>
        </w:rPr>
      </w:pPr>
    </w:p>
    <w:p>
      <w:pPr>
        <w:adjustRightInd w:val="0"/>
        <w:snapToGrid w:val="0"/>
        <w:spacing w:line="360" w:lineRule="auto"/>
        <w:rPr>
          <w:rFonts w:hint="eastAsia" w:ascii="仿宋" w:hAnsi="仿宋" w:cs="仿宋"/>
          <w:color w:val="auto"/>
          <w:szCs w:val="21"/>
          <w:highlight w:val="none"/>
        </w:rPr>
      </w:pPr>
    </w:p>
    <w:p>
      <w:pPr>
        <w:snapToGrid w:val="0"/>
        <w:spacing w:line="480" w:lineRule="auto"/>
        <w:rPr>
          <w:rFonts w:hint="eastAsia" w:ascii="仿宋" w:hAnsi="仿宋" w:cs="仿宋"/>
          <w:color w:val="auto"/>
          <w:highlight w:val="none"/>
        </w:rPr>
      </w:pPr>
      <w:r>
        <w:rPr>
          <w:rFonts w:hint="eastAsia" w:ascii="仿宋" w:hAnsi="仿宋" w:cs="仿宋"/>
          <w:color w:val="auto"/>
          <w:highlight w:val="none"/>
        </w:rPr>
        <w:t>投标人名称（加盖单位公章）：</w:t>
      </w:r>
      <w:r>
        <w:rPr>
          <w:rFonts w:hint="eastAsia" w:ascii="仿宋" w:hAnsi="仿宋" w:cs="仿宋"/>
          <w:color w:val="auto"/>
          <w:highlight w:val="none"/>
          <w:u w:val="single"/>
        </w:rPr>
        <w:t xml:space="preserve">           </w:t>
      </w:r>
    </w:p>
    <w:p>
      <w:pPr>
        <w:snapToGrid w:val="0"/>
        <w:spacing w:line="480" w:lineRule="auto"/>
        <w:rPr>
          <w:rFonts w:hint="eastAsia" w:ascii="仿宋" w:hAnsi="仿宋" w:cs="仿宋"/>
          <w:color w:val="auto"/>
          <w:highlight w:val="none"/>
        </w:rPr>
      </w:pPr>
      <w:r>
        <w:rPr>
          <w:rFonts w:hint="eastAsia" w:ascii="仿宋" w:hAnsi="仿宋" w:cs="仿宋"/>
          <w:color w:val="auto"/>
          <w:highlight w:val="none"/>
        </w:rPr>
        <w:t>法定代表人（或</w:t>
      </w:r>
      <w:r>
        <w:rPr>
          <w:rFonts w:hint="eastAsia" w:ascii="仿宋" w:hAnsi="仿宋" w:cs="仿宋"/>
          <w:color w:val="auto"/>
          <w:szCs w:val="21"/>
          <w:highlight w:val="none"/>
        </w:rPr>
        <w:t>非法人组织负责人）或</w:t>
      </w:r>
      <w:r>
        <w:rPr>
          <w:rFonts w:hint="eastAsia" w:ascii="仿宋" w:hAnsi="仿宋" w:cs="仿宋"/>
          <w:color w:val="auto"/>
          <w:highlight w:val="none"/>
        </w:rPr>
        <w:t>其</w:t>
      </w:r>
      <w:r>
        <w:rPr>
          <w:rFonts w:hint="eastAsia" w:ascii="仿宋" w:hAnsi="仿宋" w:cs="仿宋"/>
          <w:color w:val="auto"/>
          <w:szCs w:val="21"/>
          <w:highlight w:val="none"/>
        </w:rPr>
        <w:t>授权</w:t>
      </w:r>
      <w:r>
        <w:rPr>
          <w:rFonts w:hint="eastAsia" w:ascii="仿宋" w:hAnsi="仿宋" w:cs="仿宋"/>
          <w:color w:val="auto"/>
          <w:highlight w:val="none"/>
        </w:rPr>
        <w:t>委托</w:t>
      </w:r>
      <w:r>
        <w:rPr>
          <w:rFonts w:hint="eastAsia" w:ascii="仿宋" w:hAnsi="仿宋" w:cs="仿宋"/>
          <w:color w:val="auto"/>
          <w:szCs w:val="21"/>
          <w:highlight w:val="none"/>
        </w:rPr>
        <w:t>人</w:t>
      </w:r>
      <w:r>
        <w:rPr>
          <w:rFonts w:hint="eastAsia" w:ascii="仿宋" w:hAnsi="仿宋" w:cs="仿宋"/>
          <w:color w:val="auto"/>
          <w:highlight w:val="none"/>
        </w:rPr>
        <w:t>(签字或盖章)：</w:t>
      </w:r>
      <w:r>
        <w:rPr>
          <w:rFonts w:hint="eastAsia" w:ascii="仿宋" w:hAnsi="仿宋" w:cs="仿宋"/>
          <w:color w:val="auto"/>
          <w:highlight w:val="none"/>
          <w:u w:val="single"/>
        </w:rPr>
        <w:t xml:space="preserve">           </w:t>
      </w:r>
    </w:p>
    <w:p>
      <w:pPr>
        <w:adjustRightInd w:val="0"/>
        <w:snapToGrid w:val="0"/>
        <w:spacing w:line="480" w:lineRule="auto"/>
        <w:ind w:right="105" w:rightChars="50"/>
        <w:jc w:val="left"/>
        <w:rPr>
          <w:rFonts w:hint="eastAsia" w:ascii="仿宋" w:hAnsi="仿宋" w:cs="仿宋"/>
          <w:color w:val="auto"/>
          <w:highlight w:val="none"/>
          <w:u w:val="single"/>
        </w:rPr>
      </w:pPr>
      <w:r>
        <w:rPr>
          <w:rFonts w:hint="eastAsia" w:ascii="仿宋" w:hAnsi="仿宋" w:cs="仿宋"/>
          <w:color w:val="auto"/>
          <w:highlight w:val="none"/>
        </w:rPr>
        <w:t>日期：</w:t>
      </w:r>
      <w:r>
        <w:rPr>
          <w:rFonts w:hint="eastAsia" w:ascii="仿宋" w:hAnsi="仿宋" w:cs="仿宋"/>
          <w:color w:val="auto"/>
          <w:highlight w:val="none"/>
          <w:u w:val="single"/>
        </w:rPr>
        <w:t xml:space="preserve">               </w:t>
      </w:r>
    </w:p>
    <w:p>
      <w:pPr>
        <w:pStyle w:val="3"/>
        <w:adjustRightInd w:val="0"/>
        <w:snapToGrid w:val="0"/>
        <w:spacing w:before="0" w:after="0" w:line="240" w:lineRule="auto"/>
        <w:jc w:val="left"/>
        <w:rPr>
          <w:rFonts w:hint="eastAsia" w:ascii="仿宋" w:hAnsi="仿宋" w:cs="仿宋"/>
          <w:color w:val="auto"/>
          <w:szCs w:val="28"/>
          <w:highlight w:val="none"/>
        </w:rPr>
      </w:pPr>
      <w:r>
        <w:rPr>
          <w:rFonts w:hint="eastAsia" w:ascii="仿宋" w:hAnsi="仿宋" w:cs="仿宋"/>
          <w:color w:val="auto"/>
          <w:szCs w:val="28"/>
          <w:highlight w:val="none"/>
        </w:rPr>
        <w:t>格式13</w:t>
      </w:r>
    </w:p>
    <w:p>
      <w:pPr>
        <w:adjustRightInd w:val="0"/>
        <w:snapToGrid w:val="0"/>
        <w:spacing w:before="319" w:beforeLines="100" w:line="360" w:lineRule="auto"/>
        <w:ind w:right="105" w:rightChars="50"/>
        <w:jc w:val="center"/>
        <w:rPr>
          <w:rFonts w:hint="eastAsia" w:ascii="仿宋" w:hAnsi="仿宋" w:cs="仿宋"/>
          <w:b/>
          <w:bCs/>
          <w:color w:val="auto"/>
          <w:sz w:val="32"/>
          <w:szCs w:val="32"/>
          <w:highlight w:val="none"/>
        </w:rPr>
      </w:pPr>
      <w:r>
        <w:rPr>
          <w:rFonts w:hint="eastAsia" w:ascii="仿宋" w:hAnsi="仿宋" w:cs="仿宋"/>
          <w:b/>
          <w:bCs/>
          <w:color w:val="auto"/>
          <w:sz w:val="32"/>
          <w:szCs w:val="32"/>
          <w:highlight w:val="none"/>
        </w:rPr>
        <w:t>技术规格偏离表</w:t>
      </w:r>
    </w:p>
    <w:tbl>
      <w:tblPr>
        <w:tblStyle w:val="1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1"/>
        <w:gridCol w:w="1452"/>
        <w:gridCol w:w="1186"/>
        <w:gridCol w:w="1125"/>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8755"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105" w:rightChars="50"/>
              <w:jc w:val="left"/>
              <w:rPr>
                <w:rFonts w:ascii="仿宋" w:hAnsi="仿宋" w:cs="仿宋"/>
                <w:color w:val="auto"/>
                <w:szCs w:val="21"/>
                <w:highlight w:val="none"/>
              </w:rPr>
            </w:pPr>
            <w:r>
              <w:rPr>
                <w:rFonts w:hint="eastAsia" w:ascii="仿宋" w:hAnsi="仿宋" w:cs="仿宋"/>
                <w:color w:val="auto"/>
                <w:szCs w:val="21"/>
                <w:highlight w:val="none"/>
              </w:rPr>
              <w:t>包号/序号：002</w:t>
            </w:r>
          </w:p>
          <w:p>
            <w:pPr>
              <w:pStyle w:val="12"/>
              <w:widowControl w:val="0"/>
              <w:adjustRightInd w:val="0"/>
              <w:snapToGrid w:val="0"/>
              <w:spacing w:before="0" w:beforeAutospacing="0" w:after="0" w:afterAutospacing="0"/>
              <w:jc w:val="both"/>
              <w:rPr>
                <w:rFonts w:hint="eastAsia"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产品名称：</w:t>
            </w:r>
          </w:p>
          <w:p>
            <w:pPr>
              <w:pStyle w:val="12"/>
              <w:widowControl w:val="0"/>
              <w:adjustRightInd w:val="0"/>
              <w:snapToGrid w:val="0"/>
              <w:spacing w:before="0" w:beforeAutospacing="0" w:after="0" w:afterAutospacing="0"/>
              <w:jc w:val="both"/>
              <w:rPr>
                <w:rFonts w:hint="eastAsia"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数量：</w:t>
            </w:r>
          </w:p>
          <w:p>
            <w:pPr>
              <w:tabs>
                <w:tab w:val="left" w:pos="0"/>
              </w:tabs>
              <w:adjustRightInd w:val="0"/>
              <w:snapToGrid w:val="0"/>
              <w:rPr>
                <w:rFonts w:hint="eastAsia" w:ascii="仿宋" w:hAnsi="仿宋" w:cs="仿宋"/>
                <w:color w:val="auto"/>
                <w:szCs w:val="21"/>
                <w:highlight w:val="none"/>
              </w:rPr>
            </w:pPr>
            <w:r>
              <w:rPr>
                <w:rFonts w:hint="eastAsia" w:ascii="仿宋" w:hAnsi="仿宋" w:cs="仿宋"/>
                <w:color w:val="auto"/>
                <w:szCs w:val="21"/>
                <w:highlight w:val="none"/>
              </w:rPr>
              <w:t>是否为经过审批采购的进口产品：</w:t>
            </w:r>
          </w:p>
          <w:p>
            <w:pPr>
              <w:tabs>
                <w:tab w:val="left" w:pos="0"/>
              </w:tabs>
              <w:adjustRightInd w:val="0"/>
              <w:snapToGrid w:val="0"/>
              <w:rPr>
                <w:rFonts w:hint="eastAsia" w:ascii="仿宋" w:hAnsi="仿宋" w:cs="仿宋"/>
                <w:color w:val="auto"/>
                <w:szCs w:val="21"/>
                <w:highlight w:val="none"/>
              </w:rPr>
            </w:pPr>
            <w:r>
              <w:rPr>
                <w:rFonts w:hint="eastAsia" w:ascii="仿宋" w:hAnsi="仿宋" w:cs="仿宋"/>
                <w:color w:val="auto"/>
                <w:szCs w:val="21"/>
                <w:highlight w:val="none"/>
              </w:rPr>
              <w:t>是否为核心产品（非单一产品采购项目时适用）：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39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招标文件要求</w:t>
            </w:r>
          </w:p>
          <w:p>
            <w:pPr>
              <w:ind w:hanging="1"/>
              <w:rPr>
                <w:rFonts w:hint="eastAsia" w:ascii="仿宋" w:hAnsi="仿宋" w:cs="仿宋"/>
                <w:b/>
                <w:color w:val="auto"/>
                <w:szCs w:val="21"/>
                <w:highlight w:val="none"/>
              </w:rPr>
            </w:pPr>
            <w:r>
              <w:rPr>
                <w:rFonts w:hint="eastAsia" w:ascii="仿宋" w:hAnsi="仿宋" w:cs="仿宋"/>
                <w:b/>
                <w:color w:val="auto"/>
                <w:sz w:val="18"/>
                <w:szCs w:val="18"/>
                <w:highlight w:val="none"/>
              </w:rPr>
              <w:t>重要提示：实质性要求及重要指标用★标注（“★”必须标注在序号前），★标注项不得负偏离，如果负偏离，则投标文件无效。</w:t>
            </w:r>
          </w:p>
        </w:tc>
        <w:tc>
          <w:tcPr>
            <w:tcW w:w="14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投标文件</w:t>
            </w:r>
          </w:p>
          <w:p>
            <w:pPr>
              <w:tabs>
                <w:tab w:val="left" w:pos="0"/>
              </w:tabs>
              <w:spacing w:line="240" w:lineRule="exact"/>
              <w:jc w:val="center"/>
              <w:rPr>
                <w:rFonts w:hint="eastAsia" w:ascii="仿宋" w:hAnsi="仿宋" w:cs="仿宋"/>
                <w:color w:val="auto"/>
                <w:kern w:val="0"/>
                <w:szCs w:val="21"/>
                <w:highlight w:val="none"/>
              </w:rPr>
            </w:pPr>
            <w:r>
              <w:rPr>
                <w:rFonts w:hint="eastAsia" w:ascii="仿宋" w:hAnsi="仿宋" w:cs="仿宋"/>
                <w:color w:val="auto"/>
                <w:szCs w:val="21"/>
                <w:highlight w:val="none"/>
              </w:rPr>
              <w:t>响应内容</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240" w:lineRule="exact"/>
              <w:jc w:val="center"/>
              <w:rPr>
                <w:rFonts w:hint="eastAsia" w:ascii="仿宋" w:hAnsi="仿宋" w:cs="仿宋"/>
                <w:color w:val="auto"/>
                <w:kern w:val="0"/>
                <w:szCs w:val="21"/>
                <w:highlight w:val="none"/>
              </w:rPr>
            </w:pPr>
            <w:r>
              <w:rPr>
                <w:rFonts w:hint="eastAsia" w:ascii="仿宋" w:hAnsi="仿宋" w:cs="仿宋"/>
                <w:color w:val="auto"/>
                <w:szCs w:val="21"/>
                <w:highlight w:val="none"/>
              </w:rPr>
              <w:t>偏离程度</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240" w:lineRule="exact"/>
              <w:jc w:val="center"/>
              <w:rPr>
                <w:rFonts w:hint="eastAsia" w:ascii="仿宋" w:hAnsi="仿宋" w:cs="仿宋"/>
                <w:color w:val="auto"/>
                <w:kern w:val="0"/>
                <w:szCs w:val="21"/>
                <w:highlight w:val="none"/>
              </w:rPr>
            </w:pPr>
            <w:r>
              <w:rPr>
                <w:rFonts w:hint="eastAsia" w:ascii="仿宋" w:hAnsi="仿宋" w:cs="仿宋"/>
                <w:color w:val="auto"/>
                <w:szCs w:val="21"/>
                <w:highlight w:val="none"/>
              </w:rPr>
              <w:t>偏离说明</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240" w:lineRule="exact"/>
              <w:jc w:val="center"/>
              <w:rPr>
                <w:rFonts w:hint="eastAsia" w:ascii="仿宋" w:hAnsi="仿宋" w:cs="仿宋"/>
                <w:color w:val="auto"/>
                <w:szCs w:val="21"/>
                <w:highlight w:val="none"/>
              </w:rPr>
            </w:pPr>
            <w:r>
              <w:rPr>
                <w:rFonts w:hint="eastAsia" w:ascii="仿宋" w:hAnsi="仿宋" w:cs="仿宋"/>
                <w:color w:val="auto"/>
                <w:szCs w:val="21"/>
                <w:highlight w:val="none"/>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trPr>
        <w:tc>
          <w:tcPr>
            <w:tcW w:w="3901" w:type="dxa"/>
            <w:tcBorders>
              <w:top w:val="single" w:color="auto" w:sz="4" w:space="0"/>
              <w:left w:val="single" w:color="auto" w:sz="4" w:space="0"/>
              <w:bottom w:val="single" w:color="auto" w:sz="4" w:space="0"/>
              <w:right w:val="single" w:color="auto" w:sz="4" w:space="0"/>
            </w:tcBorders>
            <w:noWrap w:val="0"/>
            <w:vAlign w:val="center"/>
          </w:tcPr>
          <w:p>
            <w:pPr>
              <w:outlineLvl w:val="1"/>
              <w:rPr>
                <w:rFonts w:hint="eastAsia" w:ascii="仿宋" w:hAnsi="仿宋" w:cs="仿宋"/>
                <w:b/>
                <w:bCs/>
                <w:color w:val="auto"/>
                <w:szCs w:val="21"/>
                <w:highlight w:val="none"/>
              </w:rPr>
            </w:pPr>
            <w:r>
              <w:rPr>
                <w:rFonts w:hint="eastAsia" w:ascii="仿宋" w:hAnsi="仿宋" w:cs="仿宋"/>
                <w:b/>
                <w:color w:val="auto"/>
                <w:sz w:val="18"/>
                <w:szCs w:val="18"/>
                <w:highlight w:val="none"/>
              </w:rPr>
              <w:t>★</w:t>
            </w:r>
            <w:r>
              <w:rPr>
                <w:rFonts w:hint="eastAsia" w:ascii="仿宋" w:hAnsi="仿宋" w:cs="仿宋"/>
                <w:b/>
                <w:bCs/>
                <w:color w:val="auto"/>
                <w:szCs w:val="21"/>
                <w:highlight w:val="none"/>
              </w:rPr>
              <w:t>一、产品参数</w:t>
            </w:r>
          </w:p>
          <w:p>
            <w:pPr>
              <w:ind w:firstLine="420" w:firstLineChars="200"/>
              <w:rPr>
                <w:rFonts w:hint="eastAsia" w:ascii="仿宋" w:hAnsi="仿宋" w:cs="仿宋"/>
                <w:color w:val="auto"/>
                <w:szCs w:val="21"/>
                <w:highlight w:val="none"/>
              </w:rPr>
            </w:pPr>
            <w:r>
              <w:rPr>
                <w:rFonts w:hint="eastAsia" w:ascii="仿宋" w:hAnsi="仿宋" w:cs="仿宋"/>
                <w:color w:val="auto"/>
                <w:szCs w:val="21"/>
                <w:highlight w:val="none"/>
              </w:rPr>
              <w:t>商品有机肥选用颗粒状商品有机肥，且符合中华人民共和国农业行业标准《有机肥料》（NY/T 525-2021）的规定，主要技术指标见表1和表2。施用标准为平均0.2t/亩。</w:t>
            </w:r>
          </w:p>
          <w:p>
            <w:pPr>
              <w:jc w:val="center"/>
              <w:rPr>
                <w:rFonts w:hint="eastAsia" w:ascii="仿宋" w:hAnsi="仿宋" w:cs="仿宋"/>
                <w:color w:val="auto"/>
                <w:szCs w:val="21"/>
                <w:highlight w:val="none"/>
              </w:rPr>
            </w:pPr>
            <w:r>
              <w:rPr>
                <w:rFonts w:hint="eastAsia" w:ascii="仿宋" w:hAnsi="仿宋" w:cs="仿宋"/>
                <w:color w:val="auto"/>
                <w:szCs w:val="21"/>
                <w:highlight w:val="none"/>
              </w:rPr>
              <w:t>表1有机肥料技术指标要求</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9" w:type="dxa"/>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项 目</w:t>
                  </w:r>
                </w:p>
              </w:tc>
              <w:tc>
                <w:tcPr>
                  <w:tcW w:w="1625" w:type="dxa"/>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9" w:type="dxa"/>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有机质的质量分数(以烘干基计)，%</w:t>
                  </w:r>
                </w:p>
              </w:tc>
              <w:tc>
                <w:tcPr>
                  <w:tcW w:w="1625" w:type="dxa"/>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9" w:type="dxa"/>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总养分(氮+五氧化二磷+氧化钾)的质量分数(以烘干基计)，%</w:t>
                  </w:r>
                </w:p>
              </w:tc>
              <w:tc>
                <w:tcPr>
                  <w:tcW w:w="1625" w:type="dxa"/>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9" w:type="dxa"/>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水分(鲜样)的质量分数，%</w:t>
                  </w:r>
                </w:p>
              </w:tc>
              <w:tc>
                <w:tcPr>
                  <w:tcW w:w="1625" w:type="dxa"/>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9" w:type="dxa"/>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酸碱度(pH)</w:t>
                  </w:r>
                </w:p>
              </w:tc>
              <w:tc>
                <w:tcPr>
                  <w:tcW w:w="1625" w:type="dxa"/>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5.5～8.5</w:t>
                  </w:r>
                </w:p>
              </w:tc>
            </w:tr>
          </w:tbl>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表2有机肥料中重金属限量指标要求   单位：mg/kg</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2"/>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2" w:type="dxa"/>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szCs w:val="21"/>
                      <w:highlight w:val="none"/>
                    </w:rPr>
                    <w:t>项 目</w:t>
                  </w:r>
                </w:p>
              </w:tc>
              <w:tc>
                <w:tcPr>
                  <w:tcW w:w="1612" w:type="dxa"/>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限量指标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2" w:type="dxa"/>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总砷(As)(以烘干基计)</w:t>
                  </w:r>
                </w:p>
              </w:tc>
              <w:tc>
                <w:tcPr>
                  <w:tcW w:w="1612" w:type="dxa"/>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2" w:type="dxa"/>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总汞(Hg)(以烘干基计)</w:t>
                  </w:r>
                </w:p>
              </w:tc>
              <w:tc>
                <w:tcPr>
                  <w:tcW w:w="1612" w:type="dxa"/>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2" w:type="dxa"/>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总铅(Pb)(以烘于基计)</w:t>
                  </w:r>
                </w:p>
              </w:tc>
              <w:tc>
                <w:tcPr>
                  <w:tcW w:w="1612" w:type="dxa"/>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szCs w:val="21"/>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2" w:type="dxa"/>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总镉(Cd)(以烘干基计)</w:t>
                  </w:r>
                </w:p>
              </w:tc>
              <w:tc>
                <w:tcPr>
                  <w:tcW w:w="1612" w:type="dxa"/>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2" w:type="dxa"/>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总铬(Cr)(以烘干基计)</w:t>
                  </w:r>
                </w:p>
              </w:tc>
              <w:tc>
                <w:tcPr>
                  <w:tcW w:w="1612" w:type="dxa"/>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szCs w:val="21"/>
                      <w:highlight w:val="none"/>
                    </w:rPr>
                    <w:t>≤150</w:t>
                  </w:r>
                </w:p>
              </w:tc>
            </w:tr>
          </w:tbl>
          <w:p>
            <w:pPr>
              <w:widowControl/>
              <w:jc w:val="left"/>
              <w:outlineLvl w:val="1"/>
              <w:rPr>
                <w:rFonts w:hint="eastAsia" w:ascii="仿宋" w:hAnsi="仿宋" w:cs="仿宋"/>
                <w:b/>
                <w:bCs/>
                <w:color w:val="auto"/>
                <w:kern w:val="0"/>
                <w:szCs w:val="21"/>
                <w:highlight w:val="none"/>
                <w:lang w:bidi="ar"/>
              </w:rPr>
            </w:pPr>
            <w:r>
              <w:rPr>
                <w:rFonts w:hint="eastAsia" w:ascii="仿宋" w:hAnsi="仿宋" w:cs="仿宋"/>
                <w:b/>
                <w:color w:val="auto"/>
                <w:sz w:val="18"/>
                <w:szCs w:val="18"/>
                <w:highlight w:val="none"/>
              </w:rPr>
              <w:t>★</w:t>
            </w:r>
            <w:r>
              <w:rPr>
                <w:rFonts w:hint="eastAsia" w:ascii="仿宋" w:hAnsi="仿宋" w:cs="仿宋"/>
                <w:b/>
                <w:bCs/>
                <w:color w:val="auto"/>
                <w:kern w:val="0"/>
                <w:szCs w:val="21"/>
                <w:highlight w:val="none"/>
                <w:lang w:bidi="ar"/>
              </w:rPr>
              <w:t>二、项目实施要求</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实施时使用施肥机进行施肥，将生物有机肥按0.2t/亩的标准均匀施撒于耕地表面，并及时利用</w:t>
            </w:r>
            <w:r>
              <w:rPr>
                <w:rFonts w:hint="eastAsia" w:ascii="仿宋" w:hAnsi="仿宋" w:cs="仿宋"/>
                <w:color w:val="auto"/>
                <w:szCs w:val="21"/>
                <w:highlight w:val="none"/>
              </w:rPr>
              <w:t>配置带GPS和计量计</w:t>
            </w:r>
            <w:r>
              <w:rPr>
                <w:rFonts w:hint="eastAsia" w:ascii="仿宋" w:hAnsi="仿宋" w:cs="仿宋"/>
                <w:color w:val="auto"/>
                <w:kern w:val="0"/>
                <w:szCs w:val="21"/>
                <w:highlight w:val="none"/>
                <w:lang w:bidi="ar"/>
              </w:rPr>
              <w:t>记录设备</w:t>
            </w:r>
            <w:r>
              <w:rPr>
                <w:rFonts w:hint="eastAsia" w:ascii="仿宋" w:hAnsi="仿宋" w:cs="仿宋"/>
                <w:color w:val="auto"/>
                <w:szCs w:val="21"/>
                <w:highlight w:val="none"/>
              </w:rPr>
              <w:t>的</w:t>
            </w:r>
            <w:r>
              <w:rPr>
                <w:rFonts w:hint="eastAsia" w:ascii="仿宋" w:hAnsi="仿宋" w:cs="仿宋"/>
                <w:color w:val="auto"/>
                <w:kern w:val="0"/>
                <w:szCs w:val="21"/>
                <w:highlight w:val="none"/>
                <w:lang w:bidi="ar"/>
              </w:rPr>
              <w:t>大型农机进行肥料抛洒。</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中标人提供大型专业的市场最先进的肥料抛洒设备，根据当地的农艺要求和机具性能选用喷福在5—15米范围内，作业速度在每小时40—60亩范围，作业机具要年轻化，不要老旧，作业质量好、肥料抛洒均匀，肥料抛洒过后重喷或漏喷现象不要超过总面积的10%，喷洒量、GPS轨迹、喷洒区域符合本项目要求，如果需多种肥料，搅和时须严格按照科学配比控制，不允许堆拌，设计区域范围内必须采用机械喷洒。</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深松整地作业模式：拖拉机带动单一深松功能的深松机具进行作业，作业深度一般要求超过25cm，拖拉机动力一般要求在80马力以上。</w:t>
            </w:r>
          </w:p>
          <w:tbl>
            <w:tblPr>
              <w:tblStyle w:val="14"/>
              <w:tblW w:w="3737" w:type="dxa"/>
              <w:tblInd w:w="93" w:type="dxa"/>
              <w:tblLayout w:type="fixed"/>
              <w:tblCellMar>
                <w:top w:w="0" w:type="dxa"/>
                <w:left w:w="108" w:type="dxa"/>
                <w:bottom w:w="0" w:type="dxa"/>
                <w:right w:w="108" w:type="dxa"/>
              </w:tblCellMar>
            </w:tblPr>
            <w:tblGrid>
              <w:gridCol w:w="575"/>
              <w:gridCol w:w="1162"/>
              <w:gridCol w:w="1150"/>
              <w:gridCol w:w="850"/>
            </w:tblGrid>
            <w:tr>
              <w:tblPrEx>
                <w:tblCellMar>
                  <w:top w:w="0" w:type="dxa"/>
                  <w:left w:w="108" w:type="dxa"/>
                  <w:bottom w:w="0" w:type="dxa"/>
                  <w:right w:w="108" w:type="dxa"/>
                </w:tblCellMar>
              </w:tblPrEx>
              <w:trPr>
                <w:trHeight w:val="472" w:hRule="atLeast"/>
              </w:trPr>
              <w:tc>
                <w:tcPr>
                  <w:tcW w:w="575"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包号</w:t>
                  </w:r>
                </w:p>
              </w:tc>
              <w:tc>
                <w:tcPr>
                  <w:tcW w:w="1162" w:type="dxa"/>
                  <w:tcBorders>
                    <w:top w:val="single" w:color="000000" w:sz="4" w:space="0"/>
                    <w:left w:val="single" w:color="000000" w:sz="4" w:space="0"/>
                    <w:bottom w:val="single" w:color="auto" w:sz="4" w:space="0"/>
                    <w:right w:val="single" w:color="auto" w:sz="4" w:space="0"/>
                  </w:tcBorders>
                  <w:noWrap w:val="0"/>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村名</w:t>
                  </w:r>
                </w:p>
              </w:tc>
              <w:tc>
                <w:tcPr>
                  <w:tcW w:w="1150" w:type="dxa"/>
                  <w:tcBorders>
                    <w:top w:val="single" w:color="000000" w:sz="4" w:space="0"/>
                    <w:left w:val="single" w:color="auto" w:sz="4" w:space="0"/>
                    <w:bottom w:val="single" w:color="auto"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数量</w:t>
                  </w:r>
                </w:p>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(亩)</w:t>
                  </w:r>
                </w:p>
              </w:tc>
              <w:tc>
                <w:tcPr>
                  <w:tcW w:w="850" w:type="dxa"/>
                  <w:tcBorders>
                    <w:top w:val="single" w:color="000000" w:sz="4" w:space="0"/>
                    <w:left w:val="single" w:color="auto" w:sz="4" w:space="0"/>
                    <w:bottom w:val="single" w:color="auto"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施用标准数量</w:t>
                  </w:r>
                </w:p>
              </w:tc>
            </w:tr>
            <w:tr>
              <w:tblPrEx>
                <w:tblCellMar>
                  <w:top w:w="0" w:type="dxa"/>
                  <w:left w:w="108" w:type="dxa"/>
                  <w:bottom w:w="0" w:type="dxa"/>
                  <w:right w:w="108" w:type="dxa"/>
                </w:tblCellMar>
              </w:tblPrEx>
              <w:trPr>
                <w:trHeight w:val="320" w:hRule="atLeast"/>
              </w:trPr>
              <w:tc>
                <w:tcPr>
                  <w:tcW w:w="57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002包</w:t>
                  </w:r>
                </w:p>
              </w:tc>
              <w:tc>
                <w:tcPr>
                  <w:tcW w:w="11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葫芦峪村</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2347</w:t>
                  </w:r>
                </w:p>
              </w:tc>
              <w:tc>
                <w:tcPr>
                  <w:tcW w:w="85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szCs w:val="21"/>
                      <w:highlight w:val="none"/>
                    </w:rPr>
                    <w:t>0.2t/亩</w:t>
                  </w:r>
                </w:p>
              </w:tc>
            </w:tr>
            <w:tr>
              <w:tblPrEx>
                <w:tblCellMar>
                  <w:top w:w="0" w:type="dxa"/>
                  <w:left w:w="108" w:type="dxa"/>
                  <w:bottom w:w="0" w:type="dxa"/>
                  <w:right w:w="108" w:type="dxa"/>
                </w:tblCellMar>
              </w:tblPrEx>
              <w:trPr>
                <w:trHeight w:val="320" w:hRule="atLeast"/>
              </w:trPr>
              <w:tc>
                <w:tcPr>
                  <w:tcW w:w="575" w:type="dxa"/>
                  <w:vMerge w:val="continue"/>
                  <w:tcBorders>
                    <w:top w:val="single" w:color="auto" w:sz="4" w:space="0"/>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116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曹家堡村</w:t>
                  </w:r>
                </w:p>
              </w:tc>
              <w:tc>
                <w:tcPr>
                  <w:tcW w:w="1150" w:type="dxa"/>
                  <w:tcBorders>
                    <w:top w:val="single" w:color="auto"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695</w:t>
                  </w:r>
                </w:p>
              </w:tc>
              <w:tc>
                <w:tcPr>
                  <w:tcW w:w="850" w:type="dxa"/>
                  <w:vMerge w:val="continue"/>
                  <w:tcBorders>
                    <w:top w:val="single" w:color="auto" w:sz="4" w:space="0"/>
                    <w:left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575"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116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南毛村</w:t>
                  </w:r>
                </w:p>
              </w:tc>
              <w:tc>
                <w:tcPr>
                  <w:tcW w:w="11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1794</w:t>
                  </w:r>
                </w:p>
              </w:tc>
              <w:tc>
                <w:tcPr>
                  <w:tcW w:w="850" w:type="dxa"/>
                  <w:vMerge w:val="continue"/>
                  <w:tcBorders>
                    <w:left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575"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1162"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小计</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4836</w:t>
                  </w:r>
                </w:p>
              </w:tc>
              <w:tc>
                <w:tcPr>
                  <w:tcW w:w="850" w:type="dxa"/>
                  <w:vMerge w:val="continue"/>
                  <w:tcBorders>
                    <w:left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575"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116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小河村</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2355</w:t>
                  </w:r>
                </w:p>
              </w:tc>
              <w:tc>
                <w:tcPr>
                  <w:tcW w:w="850" w:type="dxa"/>
                  <w:vMerge w:val="continue"/>
                  <w:tcBorders>
                    <w:left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575"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116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北毛村</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1996</w:t>
                  </w:r>
                </w:p>
              </w:tc>
              <w:tc>
                <w:tcPr>
                  <w:tcW w:w="850" w:type="dxa"/>
                  <w:vMerge w:val="continue"/>
                  <w:tcBorders>
                    <w:left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575"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116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付家沟村</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3013</w:t>
                  </w:r>
                </w:p>
              </w:tc>
              <w:tc>
                <w:tcPr>
                  <w:tcW w:w="850" w:type="dxa"/>
                  <w:vMerge w:val="continue"/>
                  <w:tcBorders>
                    <w:left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575"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116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小计</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7364</w:t>
                  </w:r>
                </w:p>
              </w:tc>
              <w:tc>
                <w:tcPr>
                  <w:tcW w:w="850" w:type="dxa"/>
                  <w:vMerge w:val="continue"/>
                  <w:tcBorders>
                    <w:left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575"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116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西柳镇西柳村</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1255</w:t>
                  </w:r>
                </w:p>
              </w:tc>
              <w:tc>
                <w:tcPr>
                  <w:tcW w:w="850" w:type="dxa"/>
                  <w:vMerge w:val="continue"/>
                  <w:tcBorders>
                    <w:left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575"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116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西柳镇东柳村</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1045</w:t>
                  </w:r>
                </w:p>
              </w:tc>
              <w:tc>
                <w:tcPr>
                  <w:tcW w:w="850" w:type="dxa"/>
                  <w:vMerge w:val="continue"/>
                  <w:tcBorders>
                    <w:left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575"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116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兴海街道三里社区</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950</w:t>
                  </w:r>
                </w:p>
              </w:tc>
              <w:tc>
                <w:tcPr>
                  <w:tcW w:w="850" w:type="dxa"/>
                  <w:vMerge w:val="continue"/>
                  <w:tcBorders>
                    <w:left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575"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116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兴海街道后力社区</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1050</w:t>
                  </w:r>
                </w:p>
              </w:tc>
              <w:tc>
                <w:tcPr>
                  <w:tcW w:w="850" w:type="dxa"/>
                  <w:vMerge w:val="continue"/>
                  <w:tcBorders>
                    <w:left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575"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1162"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小计</w:t>
                  </w:r>
                </w:p>
              </w:tc>
              <w:tc>
                <w:tcPr>
                  <w:tcW w:w="11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4300</w:t>
                  </w:r>
                </w:p>
              </w:tc>
              <w:tc>
                <w:tcPr>
                  <w:tcW w:w="850" w:type="dxa"/>
                  <w:vMerge w:val="continue"/>
                  <w:tcBorders>
                    <w:left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575" w:type="dxa"/>
                  <w:vMerge w:val="continue"/>
                  <w:tcBorders>
                    <w:left w:val="single" w:color="auto" w:sz="4" w:space="0"/>
                    <w:bottom w:val="single" w:color="000000"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1162"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合计</w:t>
                  </w:r>
                </w:p>
              </w:tc>
              <w:tc>
                <w:tcPr>
                  <w:tcW w:w="11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16500</w:t>
                  </w:r>
                </w:p>
              </w:tc>
              <w:tc>
                <w:tcPr>
                  <w:tcW w:w="850" w:type="dxa"/>
                  <w:vMerge w:val="continue"/>
                  <w:tcBorders>
                    <w:left w:val="single" w:color="auto" w:sz="4" w:space="0"/>
                    <w:bottom w:val="single" w:color="000000"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bl>
          <w:p>
            <w:pPr>
              <w:widowControl/>
              <w:jc w:val="left"/>
              <w:outlineLvl w:val="1"/>
              <w:rPr>
                <w:rFonts w:hint="eastAsia" w:ascii="仿宋" w:hAnsi="仿宋" w:cs="仿宋"/>
                <w:b/>
                <w:bCs/>
                <w:color w:val="auto"/>
                <w:kern w:val="0"/>
                <w:szCs w:val="21"/>
                <w:highlight w:val="none"/>
                <w:lang w:bidi="ar"/>
              </w:rPr>
            </w:pPr>
            <w:r>
              <w:rPr>
                <w:rFonts w:hint="eastAsia" w:ascii="仿宋" w:hAnsi="仿宋" w:cs="仿宋"/>
                <w:b/>
                <w:color w:val="auto"/>
                <w:sz w:val="18"/>
                <w:szCs w:val="18"/>
                <w:highlight w:val="none"/>
              </w:rPr>
              <w:t>★</w:t>
            </w:r>
            <w:r>
              <w:rPr>
                <w:rFonts w:hint="eastAsia" w:ascii="仿宋" w:hAnsi="仿宋" w:cs="仿宋"/>
                <w:b/>
                <w:bCs/>
                <w:color w:val="auto"/>
                <w:kern w:val="0"/>
                <w:szCs w:val="21"/>
                <w:highlight w:val="none"/>
                <w:lang w:bidi="ar"/>
              </w:rPr>
              <w:t>三、检测要求</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（1）检测内容</w:t>
            </w:r>
          </w:p>
          <w:p>
            <w:pPr>
              <w:widowControl/>
              <w:ind w:firstLine="630" w:firstLineChars="3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检测点位：本项目施肥前（上批粮食作物收割后）肥料运输到达采购人指定地点后，采购人将对肥料进行随机抽样检测，并对供货肥料与投标文件中所报肥料信息等进行对比。本项目所有肥料施撒完成后,采购人将在项目涉及的36000亩范围内随机抽样检测。采样时，一要避开路边、地头、田埂、沟边、肥堆点、根茬点、局部特殊地形等特殊部位；二要按照“等量”和“多点混合”的原则，在采样田块按“S”型或棋盘布点等方法布设采集5个以上分样点混合均匀后，再采用“四分法”留存土壤样品；三要在采样后注意挑出根系、秸秆、石块、虫体等杂物，以免给土壤检测带来误差。并测量出样点坐标（2000国家大地坐标系），标出其平面坐标及检测点位分布图；</w:t>
            </w:r>
          </w:p>
          <w:p>
            <w:pPr>
              <w:widowControl/>
              <w:ind w:firstLine="630" w:firstLineChars="3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2）检测项目：检测点土壤中的ph值、有机质含量、有效磷、缓效钾、速效钾、全氮共计6项；</w:t>
            </w:r>
          </w:p>
          <w:p>
            <w:pPr>
              <w:widowControl/>
              <w:ind w:firstLine="630" w:firstLineChars="3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3）检测时间和频次：施肥前（上批粮食作物收割后）随机抽样检测一次，施肥后（下批粮食作物种植前）随机抽样检测一次，共计两次。</w:t>
            </w:r>
          </w:p>
          <w:p>
            <w:pPr>
              <w:widowControl/>
              <w:ind w:firstLine="630" w:firstLineChars="3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4）检测方法及仪器设备</w:t>
            </w:r>
          </w:p>
          <w:tbl>
            <w:tblPr>
              <w:tblStyle w:val="14"/>
              <w:tblW w:w="4952" w:type="pct"/>
              <w:tblInd w:w="0" w:type="dxa"/>
              <w:tblLayout w:type="fixed"/>
              <w:tblCellMar>
                <w:top w:w="0" w:type="dxa"/>
                <w:left w:w="108" w:type="dxa"/>
                <w:bottom w:w="0" w:type="dxa"/>
                <w:right w:w="108" w:type="dxa"/>
              </w:tblCellMar>
            </w:tblPr>
            <w:tblGrid>
              <w:gridCol w:w="429"/>
              <w:gridCol w:w="504"/>
              <w:gridCol w:w="1863"/>
              <w:gridCol w:w="854"/>
            </w:tblGrid>
            <w:tr>
              <w:tblPrEx>
                <w:tblCellMar>
                  <w:top w:w="0" w:type="dxa"/>
                  <w:left w:w="108" w:type="dxa"/>
                  <w:bottom w:w="0" w:type="dxa"/>
                  <w:right w:w="108" w:type="dxa"/>
                </w:tblCellMar>
              </w:tblPrEx>
              <w:trPr>
                <w:trHeight w:val="270" w:hRule="atLeast"/>
                <w:tblHeader/>
              </w:trPr>
              <w:tc>
                <w:tcPr>
                  <w:tcW w:w="58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序号</w:t>
                  </w:r>
                </w:p>
              </w:tc>
              <w:tc>
                <w:tcPr>
                  <w:tcW w:w="69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检测项目</w:t>
                  </w:r>
                </w:p>
              </w:tc>
              <w:tc>
                <w:tcPr>
                  <w:tcW w:w="2550"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分析方法</w:t>
                  </w:r>
                </w:p>
              </w:tc>
              <w:tc>
                <w:tcPr>
                  <w:tcW w:w="1170"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分析仪器</w:t>
                  </w:r>
                </w:p>
              </w:tc>
            </w:tr>
            <w:tr>
              <w:tblPrEx>
                <w:tblCellMar>
                  <w:top w:w="0" w:type="dxa"/>
                  <w:left w:w="108" w:type="dxa"/>
                  <w:bottom w:w="0" w:type="dxa"/>
                  <w:right w:w="108" w:type="dxa"/>
                </w:tblCellMar>
              </w:tblPrEx>
              <w:trPr>
                <w:trHeight w:val="90" w:hRule="atLeast"/>
              </w:trPr>
              <w:tc>
                <w:tcPr>
                  <w:tcW w:w="58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w:t>
                  </w:r>
                </w:p>
              </w:tc>
              <w:tc>
                <w:tcPr>
                  <w:tcW w:w="691" w:type="pct"/>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PH</w:t>
                  </w:r>
                </w:p>
              </w:tc>
              <w:tc>
                <w:tcPr>
                  <w:tcW w:w="2550"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土壤检测 第2部分：土壤pH的测定（NY/T 1121.2-2006）</w:t>
                  </w:r>
                </w:p>
              </w:tc>
              <w:tc>
                <w:tcPr>
                  <w:tcW w:w="1170" w:type="pct"/>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PH计</w:t>
                  </w:r>
                </w:p>
              </w:tc>
            </w:tr>
            <w:tr>
              <w:tblPrEx>
                <w:tblCellMar>
                  <w:top w:w="0" w:type="dxa"/>
                  <w:left w:w="108" w:type="dxa"/>
                  <w:bottom w:w="0" w:type="dxa"/>
                  <w:right w:w="108" w:type="dxa"/>
                </w:tblCellMar>
              </w:tblPrEx>
              <w:trPr>
                <w:trHeight w:val="294" w:hRule="atLeast"/>
              </w:trPr>
              <w:tc>
                <w:tcPr>
                  <w:tcW w:w="587" w:type="pct"/>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w:t>
                  </w:r>
                </w:p>
              </w:tc>
              <w:tc>
                <w:tcPr>
                  <w:tcW w:w="691"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有机质</w:t>
                  </w:r>
                </w:p>
              </w:tc>
              <w:tc>
                <w:tcPr>
                  <w:tcW w:w="2550" w:type="pct"/>
                  <w:tcBorders>
                    <w:top w:val="nil"/>
                    <w:left w:val="nil"/>
                    <w:bottom w:val="single" w:color="auto" w:sz="4" w:space="0"/>
                    <w:right w:val="single" w:color="auto" w:sz="4" w:space="0"/>
                  </w:tcBorders>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土壤检测 第6部分：土壤有机质的测定（NY/T 1121.6-2006）</w:t>
                  </w:r>
                </w:p>
              </w:tc>
              <w:tc>
                <w:tcPr>
                  <w:tcW w:w="1170"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数字瓶口滴定器</w:t>
                  </w:r>
                </w:p>
              </w:tc>
            </w:tr>
            <w:tr>
              <w:tblPrEx>
                <w:tblCellMar>
                  <w:top w:w="0" w:type="dxa"/>
                  <w:left w:w="108" w:type="dxa"/>
                  <w:bottom w:w="0" w:type="dxa"/>
                  <w:right w:w="108" w:type="dxa"/>
                </w:tblCellMar>
              </w:tblPrEx>
              <w:trPr>
                <w:trHeight w:val="234" w:hRule="atLeast"/>
              </w:trPr>
              <w:tc>
                <w:tcPr>
                  <w:tcW w:w="587" w:type="pct"/>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3</w:t>
                  </w:r>
                </w:p>
              </w:tc>
              <w:tc>
                <w:tcPr>
                  <w:tcW w:w="691"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有效磷</w:t>
                  </w:r>
                </w:p>
              </w:tc>
              <w:tc>
                <w:tcPr>
                  <w:tcW w:w="2550" w:type="pct"/>
                  <w:tcBorders>
                    <w:top w:val="nil"/>
                    <w:left w:val="nil"/>
                    <w:bottom w:val="single" w:color="auto" w:sz="4" w:space="0"/>
                    <w:right w:val="single" w:color="auto" w:sz="4" w:space="0"/>
                  </w:tcBorders>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土壤检测 第7部分：土壤有效磷的测定（NY/T 1121.7-2014）</w:t>
                  </w:r>
                </w:p>
              </w:tc>
              <w:tc>
                <w:tcPr>
                  <w:tcW w:w="1170"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紫外分光光度计</w:t>
                  </w:r>
                </w:p>
              </w:tc>
            </w:tr>
            <w:tr>
              <w:tblPrEx>
                <w:tblCellMar>
                  <w:top w:w="0" w:type="dxa"/>
                  <w:left w:w="108" w:type="dxa"/>
                  <w:bottom w:w="0" w:type="dxa"/>
                  <w:right w:w="108" w:type="dxa"/>
                </w:tblCellMar>
              </w:tblPrEx>
              <w:trPr>
                <w:trHeight w:val="335" w:hRule="atLeast"/>
              </w:trPr>
              <w:tc>
                <w:tcPr>
                  <w:tcW w:w="587" w:type="pct"/>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4</w:t>
                  </w:r>
                </w:p>
              </w:tc>
              <w:tc>
                <w:tcPr>
                  <w:tcW w:w="691"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缓效钾</w:t>
                  </w:r>
                </w:p>
              </w:tc>
              <w:tc>
                <w:tcPr>
                  <w:tcW w:w="2550" w:type="pct"/>
                  <w:tcBorders>
                    <w:top w:val="nil"/>
                    <w:left w:val="nil"/>
                    <w:bottom w:val="single" w:color="auto" w:sz="4" w:space="0"/>
                    <w:right w:val="single" w:color="auto" w:sz="4" w:space="0"/>
                  </w:tcBorders>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土壤速效钾和缓效钾含量的测定(NY/T 889-2004)</w:t>
                  </w:r>
                </w:p>
              </w:tc>
              <w:tc>
                <w:tcPr>
                  <w:tcW w:w="1170"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火焰光度计</w:t>
                  </w:r>
                </w:p>
              </w:tc>
            </w:tr>
            <w:tr>
              <w:tblPrEx>
                <w:tblCellMar>
                  <w:top w:w="0" w:type="dxa"/>
                  <w:left w:w="108" w:type="dxa"/>
                  <w:bottom w:w="0" w:type="dxa"/>
                  <w:right w:w="108" w:type="dxa"/>
                </w:tblCellMar>
              </w:tblPrEx>
              <w:trPr>
                <w:trHeight w:val="335" w:hRule="atLeast"/>
              </w:trPr>
              <w:tc>
                <w:tcPr>
                  <w:tcW w:w="587" w:type="pct"/>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5</w:t>
                  </w:r>
                </w:p>
              </w:tc>
              <w:tc>
                <w:tcPr>
                  <w:tcW w:w="691"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速效钾</w:t>
                  </w:r>
                </w:p>
              </w:tc>
              <w:tc>
                <w:tcPr>
                  <w:tcW w:w="2550" w:type="pct"/>
                  <w:tcBorders>
                    <w:top w:val="nil"/>
                    <w:left w:val="nil"/>
                    <w:bottom w:val="single" w:color="auto" w:sz="4" w:space="0"/>
                    <w:right w:val="single" w:color="auto" w:sz="4" w:space="0"/>
                  </w:tcBorders>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土壤速效钾和缓效钾含量的测定(NY/T 889-2004)</w:t>
                  </w:r>
                </w:p>
              </w:tc>
              <w:tc>
                <w:tcPr>
                  <w:tcW w:w="1170"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火焰光度计</w:t>
                  </w:r>
                </w:p>
              </w:tc>
            </w:tr>
            <w:tr>
              <w:tblPrEx>
                <w:tblCellMar>
                  <w:top w:w="0" w:type="dxa"/>
                  <w:left w:w="108" w:type="dxa"/>
                  <w:bottom w:w="0" w:type="dxa"/>
                  <w:right w:w="108" w:type="dxa"/>
                </w:tblCellMar>
              </w:tblPrEx>
              <w:trPr>
                <w:trHeight w:val="472" w:hRule="atLeast"/>
              </w:trPr>
              <w:tc>
                <w:tcPr>
                  <w:tcW w:w="587" w:type="pct"/>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6</w:t>
                  </w:r>
                </w:p>
              </w:tc>
              <w:tc>
                <w:tcPr>
                  <w:tcW w:w="691"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全氮</w:t>
                  </w:r>
                </w:p>
              </w:tc>
              <w:tc>
                <w:tcPr>
                  <w:tcW w:w="2550" w:type="pct"/>
                  <w:tcBorders>
                    <w:top w:val="nil"/>
                    <w:left w:val="nil"/>
                    <w:bottom w:val="single" w:color="auto" w:sz="4" w:space="0"/>
                    <w:right w:val="single" w:color="auto" w:sz="4" w:space="0"/>
                  </w:tcBorders>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土壤检测 第24部分：土壤全氮的测定自动定氮仪法（NY/T1121.24-2012）</w:t>
                  </w:r>
                </w:p>
              </w:tc>
              <w:tc>
                <w:tcPr>
                  <w:tcW w:w="1170"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全自动定氮仪</w:t>
                  </w:r>
                </w:p>
              </w:tc>
            </w:tr>
          </w:tbl>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（2）成果提交</w:t>
            </w:r>
          </w:p>
          <w:p>
            <w:pPr>
              <w:widowControl/>
              <w:ind w:firstLine="630" w:firstLineChars="3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1）带有CMA资质认可的检测报告及过程的质控报告。</w:t>
            </w:r>
          </w:p>
          <w:p>
            <w:pPr>
              <w:widowControl/>
              <w:ind w:firstLine="630" w:firstLineChars="3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2）综合分析报告，（包含施肥前后检测指标的变化，谱图分析、图片材料等）。</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（3）检测其他要求</w:t>
            </w:r>
          </w:p>
          <w:p>
            <w:pPr>
              <w:widowControl/>
              <w:ind w:firstLine="630" w:firstLineChars="3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1）检测所发生的全部费用由中标人支付。</w:t>
            </w:r>
          </w:p>
          <w:p>
            <w:pPr>
              <w:widowControl/>
              <w:ind w:firstLine="630" w:firstLineChars="3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2）检测全过程（包括但不限于取样、送检、检测及检测机构等）无需中标人接触。</w:t>
            </w:r>
          </w:p>
          <w:p>
            <w:pPr>
              <w:widowControl/>
              <w:jc w:val="left"/>
              <w:outlineLvl w:val="1"/>
              <w:rPr>
                <w:rFonts w:hint="eastAsia" w:ascii="仿宋" w:hAnsi="仿宋" w:cs="仿宋"/>
                <w:b/>
                <w:bCs/>
                <w:color w:val="auto"/>
                <w:kern w:val="0"/>
                <w:szCs w:val="21"/>
                <w:highlight w:val="none"/>
                <w:lang w:bidi="ar"/>
              </w:rPr>
            </w:pPr>
            <w:r>
              <w:rPr>
                <w:rFonts w:hint="eastAsia" w:ascii="仿宋" w:hAnsi="仿宋" w:cs="仿宋"/>
                <w:b/>
                <w:color w:val="auto"/>
                <w:sz w:val="18"/>
                <w:szCs w:val="18"/>
                <w:highlight w:val="none"/>
              </w:rPr>
              <w:t>★</w:t>
            </w:r>
            <w:r>
              <w:rPr>
                <w:rFonts w:hint="eastAsia" w:ascii="仿宋" w:hAnsi="仿宋" w:cs="仿宋"/>
                <w:b/>
                <w:bCs/>
                <w:color w:val="auto"/>
                <w:kern w:val="0"/>
                <w:szCs w:val="21"/>
                <w:highlight w:val="none"/>
                <w:lang w:bidi="ar"/>
              </w:rPr>
              <w:t>四、售后服务要求</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中标人应保证在供货时所提供产品均为质量合格产品新产品，质量符合国家承认的相应标准，同时产品的包装、标签、说明书等符合国家有关规定；供货时，提供与所供批次产品金额相对应的发票原件，并保证与投标文件中承诺的产品质量、产品名称、品牌、型号、规格、数量、原产地、制造商名称相一致，以确保现场使用安全有效，不存在非法转包的情况。否则，采购人有权单方面解除合同，货款不予支付。如给采购人造成损失，损失部分由中标人承担。</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2、如因中标人所供产品质量问题或抽样检测不合格，所导致所产生的赔偿责任等所有责任全部由中标人直接承担，给采购人造成损失的，损失部分由中标人承担，采购人可单方面解除合同，货款不予支付。</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3、产品在使用过程中出现问题，提供7×24小时电话技术支持，技术服务人员到达现场响应时间为4小时内，并于6小时内解决，特殊情况在24小时内无法解决的，应采取应急措施正常使用。</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4、中标人应安排技术服务人员现场施撒服务，对验收时发现的破损、近效期产品或其它不符合标准的产品，采购人有权拒收，中标人应在7日内负责无条件更换同类新的产品；因乙方储存不当造成的质量损坏及损失，采购人不负责任，由中标人自行解决并承担责任。</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5、施撒服务具体要求：</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（1）按采购人要求提供现场技术支持和服务，进行规范现场施撒肥服务。</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（2）按照施撒定量均匀进行施撒，施撒符合本项目采购需求。</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（3）产品送达施撒现场后，进行检斤，将检斤见证签字（监理单位、中标人、采购单位）。</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4）施撒所需设备车辆需安装GPS定位系统，GPS定位系统必须保证随时能够导出本项目的卫星数据，施撒全过程录像（必要时使用无人机录像设备），中标人施撒工作完成后，施撒全过程影像资料、GPS定位系统所有数据资料等交于采购人存档。施撒所需设备车辆未安装GPS定位系统、施撒全过程若无全程录像（或录像不全），采购人可单方面解除合同，货款不予支付。</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（5）因不可抗力因素，导致大型专业肥料抛洒设备无法进场，必要时可采用无人机进行施撒肥料，若使用无人机设备施撒肥料，喷洒量、GPS轨迹、喷洒区域符合本项目要求。</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6、中标人必须按实际成交价格和每批次为采购人提供的产品数量如实开具发票，采购人将根据中标人提供的发票付款。</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7、中标人须配置专业技术人员提供现场技术支持与培训，施撒服务，保证采购人的使用人员可正常使用本产品。</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8、投标人应提供产品的相关手续验收：投标人应向采购人提供详细的出厂质量检验标准、质量证明、出厂合格证。</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9、投标人应保证在整个投标过程中诚实守信，如有提供劣质产品，虚报、欺瞒采购人等情形，采购人将拒绝付款（包括已使用部分）并退货，如因此给采购人造成损失，损失部分由投标人自行承担，已签合同自行解除，投标人应承担相应的法律责任。</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10、在合同履行期限内，如出现供货时间严重滞后，或者未能在合同履行期限内完成供货或施撒任务，影响村民春种或采购使用的情形，采购人可以扣履约保证金中相应比例。情节严重的，采购人有权终止合同，余款不予支付，给采购人所造成的相应损失，采购人保留追偿的权利。</w:t>
            </w:r>
          </w:p>
          <w:p>
            <w:pPr>
              <w:widowControl/>
              <w:jc w:val="left"/>
              <w:outlineLvl w:val="1"/>
              <w:rPr>
                <w:rFonts w:hint="eastAsia" w:ascii="仿宋" w:hAnsi="仿宋" w:cs="仿宋"/>
                <w:b/>
                <w:bCs/>
                <w:color w:val="auto"/>
                <w:kern w:val="0"/>
                <w:szCs w:val="21"/>
                <w:highlight w:val="none"/>
                <w:lang w:bidi="ar"/>
              </w:rPr>
            </w:pPr>
            <w:r>
              <w:rPr>
                <w:rFonts w:hint="eastAsia" w:ascii="仿宋" w:hAnsi="仿宋" w:cs="仿宋"/>
                <w:b/>
                <w:bCs/>
                <w:color w:val="auto"/>
                <w:kern w:val="0"/>
                <w:szCs w:val="21"/>
                <w:highlight w:val="none"/>
                <w:lang w:bidi="ar"/>
              </w:rPr>
              <w:t>五、其他要求及说明</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1、本次投标报价应包含本项目所涉及的运输、保险、人工、材料、验收、现场施撒服务、税金等所有费用，直到验收合格为止，采购人不再支付除合同价款以外的任何费用。</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2、所有新购产品必须是全新出厂的，如果发现因包装或运输不当引起的损坏失效，投标人应负责更换，采购人可通过出厂证明，包装及数量等方面对货物进行验收，也可以随时对产品质量及数量进行抽验。</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3、投标人在投标文件中应标明所投所有产品的品牌、型号、技术参数、产地、生产厂家等相关信息。投标文件中也可附图片、说明书、合格证明、认证证书等资料予以补充说明。</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4、中标人应如期保质保量的完成本项目所涉及的所有内容，如未达到采购要求，应及时进行调整，直到完全满足其使用要求，如果最终的调整仍达不到要求，采购人有权利要求中标人承担违约责任，违约金从合同价款中扣除，严重不满足时，采购人有权终止合同，并保留相关损失追偿的权利。</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5本技术规格和技术要求所列货物的技术、规格功能作为投标人本项目投标满足的最基本要求，投标人所提供的货物在技术与功能等方面应等同于或高于上述技术、功能要求。并未对一切细节做出全部详细规定，也未充分引述有关标准和规范的条文，投标人所有与本项目有关的技术标准均应不低于报价时已颁布的国家和行业标准，或相应的国际标准的有关条文。使用最新的专利和保密专利需特别说明。检测标准依据国家现行标准执行。</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6、投标人必须为所有被培训人员提供培训用文字资料和讲义等相关用品，所有的资料必须是中文或英文书写。投标方必需提供但不限于以下内容的培训：现场施肥技术支持，施撒服务、常见问题现象及诊断、解决办法，培训费用（场地、人员等）包含在投标总报价中。</w:t>
            </w:r>
          </w:p>
          <w:p>
            <w:pPr>
              <w:widowControl/>
              <w:ind w:firstLine="420" w:firstLineChars="200"/>
              <w:jc w:val="left"/>
              <w:rPr>
                <w:rFonts w:hint="eastAsia" w:ascii="仿宋" w:hAnsi="仿宋" w:cs="仿宋"/>
                <w:color w:val="auto"/>
                <w:szCs w:val="21"/>
                <w:highlight w:val="none"/>
              </w:rPr>
            </w:pPr>
            <w:r>
              <w:rPr>
                <w:rFonts w:hint="eastAsia" w:ascii="仿宋" w:hAnsi="仿宋" w:cs="仿宋"/>
                <w:color w:val="auto"/>
                <w:kern w:val="0"/>
                <w:szCs w:val="21"/>
                <w:highlight w:val="none"/>
                <w:lang w:bidi="ar"/>
              </w:rPr>
              <w:t>7、本技术规格参数提出的各项功能要求和技术指标是对本项目的最基本要求，并未对一切细节做出全部详细规定，也未充分引述有关标准和规范的条文，投标人所有与本项目有关的技术标准均应不低于报价时已颁布的国家和行业标准，或相应的国际标准的有关条文</w:t>
            </w:r>
            <w:r>
              <w:rPr>
                <w:rFonts w:hint="eastAsia" w:ascii="仿宋" w:hAnsi="仿宋" w:cs="仿宋"/>
                <w:color w:val="auto"/>
                <w:kern w:val="0"/>
                <w:sz w:val="22"/>
                <w:szCs w:val="22"/>
                <w:highlight w:val="none"/>
                <w:lang w:bidi="ar"/>
              </w:rPr>
              <w:t>。</w:t>
            </w:r>
          </w:p>
        </w:tc>
        <w:tc>
          <w:tcPr>
            <w:tcW w:w="1452" w:type="dxa"/>
            <w:tcBorders>
              <w:top w:val="single" w:color="auto" w:sz="4" w:space="0"/>
              <w:left w:val="single" w:color="auto" w:sz="4" w:space="0"/>
              <w:bottom w:val="single" w:color="auto" w:sz="4" w:space="0"/>
              <w:right w:val="single" w:color="auto" w:sz="4" w:space="0"/>
            </w:tcBorders>
            <w:noWrap w:val="0"/>
            <w:vAlign w:val="center"/>
          </w:tcPr>
          <w:p>
            <w:pPr>
              <w:tabs>
                <w:tab w:val="left" w:pos="0"/>
              </w:tabs>
              <w:adjustRightInd w:val="0"/>
              <w:snapToGrid w:val="0"/>
              <w:jc w:val="center"/>
              <w:rPr>
                <w:rFonts w:hint="eastAsia" w:ascii="仿宋" w:hAnsi="仿宋" w:cs="仿宋"/>
                <w:color w:val="auto"/>
                <w:kern w:val="0"/>
                <w:szCs w:val="21"/>
                <w:highlight w:val="none"/>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240" w:lineRule="exact"/>
              <w:jc w:val="center"/>
              <w:rPr>
                <w:rFonts w:hint="eastAsia" w:ascii="仿宋" w:hAnsi="仿宋" w:cs="仿宋"/>
                <w:color w:val="auto"/>
                <w:kern w:val="0"/>
                <w:szCs w:val="21"/>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240" w:lineRule="exact"/>
              <w:jc w:val="center"/>
              <w:rPr>
                <w:rFonts w:hint="eastAsia" w:ascii="仿宋" w:hAnsi="仿宋" w:cs="仿宋"/>
                <w:color w:val="auto"/>
                <w:kern w:val="0"/>
                <w:szCs w:val="21"/>
                <w:highlight w:val="none"/>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240" w:lineRule="exact"/>
              <w:jc w:val="center"/>
              <w:rPr>
                <w:rFonts w:hint="eastAsia" w:ascii="仿宋" w:hAnsi="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trPr>
        <w:tc>
          <w:tcPr>
            <w:tcW w:w="39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hanging="1"/>
              <w:jc w:val="center"/>
              <w:rPr>
                <w:rFonts w:hint="eastAsia" w:ascii="仿宋" w:hAnsi="仿宋" w:cs="仿宋"/>
                <w:color w:val="auto"/>
                <w:szCs w:val="21"/>
                <w:highlight w:val="none"/>
              </w:rPr>
            </w:pPr>
            <w:r>
              <w:rPr>
                <w:rFonts w:hint="eastAsia" w:ascii="仿宋" w:hAnsi="仿宋" w:cs="仿宋"/>
                <w:color w:val="auto"/>
                <w:szCs w:val="21"/>
                <w:highlight w:val="none"/>
              </w:rPr>
              <w:t>其它</w:t>
            </w:r>
          </w:p>
        </w:tc>
        <w:tc>
          <w:tcPr>
            <w:tcW w:w="1452" w:type="dxa"/>
            <w:tcBorders>
              <w:top w:val="single" w:color="auto" w:sz="4" w:space="0"/>
              <w:left w:val="single" w:color="auto" w:sz="4" w:space="0"/>
              <w:bottom w:val="single" w:color="auto" w:sz="4" w:space="0"/>
              <w:right w:val="single" w:color="auto" w:sz="4" w:space="0"/>
            </w:tcBorders>
            <w:noWrap w:val="0"/>
            <w:vAlign w:val="center"/>
          </w:tcPr>
          <w:p>
            <w:pPr>
              <w:tabs>
                <w:tab w:val="left" w:pos="-61"/>
              </w:tabs>
              <w:adjustRightInd w:val="0"/>
              <w:snapToGrid w:val="0"/>
              <w:ind w:right="-54" w:rightChars="-26"/>
              <w:jc w:val="left"/>
              <w:rPr>
                <w:rFonts w:hint="eastAsia" w:ascii="仿宋" w:hAnsi="仿宋" w:cs="仿宋"/>
                <w:color w:val="auto"/>
                <w:kern w:val="0"/>
                <w:szCs w:val="21"/>
                <w:highlight w:val="none"/>
              </w:rPr>
            </w:pPr>
            <w:r>
              <w:rPr>
                <w:rFonts w:hint="eastAsia" w:ascii="仿宋" w:hAnsi="仿宋" w:cs="仿宋"/>
                <w:color w:val="auto"/>
                <w:szCs w:val="21"/>
                <w:highlight w:val="none"/>
              </w:rPr>
              <w:t>采购单位未提供需求而投标人认为需说明及补充的内容在此填列</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240" w:lineRule="exact"/>
              <w:jc w:val="center"/>
              <w:rPr>
                <w:rFonts w:hint="eastAsia" w:ascii="仿宋" w:hAnsi="仿宋" w:cs="仿宋"/>
                <w:color w:val="auto"/>
                <w:kern w:val="0"/>
                <w:szCs w:val="21"/>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240" w:lineRule="exact"/>
              <w:jc w:val="center"/>
              <w:rPr>
                <w:rFonts w:hint="eastAsia" w:ascii="仿宋" w:hAnsi="仿宋" w:cs="仿宋"/>
                <w:color w:val="auto"/>
                <w:kern w:val="0"/>
                <w:szCs w:val="21"/>
                <w:highlight w:val="none"/>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240" w:lineRule="exact"/>
              <w:jc w:val="center"/>
              <w:rPr>
                <w:rFonts w:hint="eastAsia" w:ascii="仿宋" w:hAnsi="仿宋" w:cs="仿宋"/>
                <w:color w:val="auto"/>
                <w:kern w:val="0"/>
                <w:szCs w:val="21"/>
                <w:highlight w:val="none"/>
              </w:rPr>
            </w:pPr>
          </w:p>
        </w:tc>
      </w:tr>
    </w:tbl>
    <w:p>
      <w:pPr>
        <w:adjustRightInd w:val="0"/>
        <w:snapToGrid w:val="0"/>
        <w:spacing w:line="360" w:lineRule="auto"/>
        <w:ind w:right="105" w:rightChars="50"/>
        <w:jc w:val="left"/>
        <w:rPr>
          <w:rFonts w:hint="eastAsia" w:ascii="仿宋" w:hAnsi="仿宋" w:cs="仿宋"/>
          <w:b/>
          <w:color w:val="auto"/>
          <w:szCs w:val="21"/>
          <w:highlight w:val="none"/>
        </w:rPr>
      </w:pPr>
      <w:r>
        <w:rPr>
          <w:rFonts w:hint="eastAsia" w:ascii="仿宋" w:hAnsi="仿宋" w:cs="仿宋"/>
          <w:b/>
          <w:color w:val="auto"/>
          <w:szCs w:val="21"/>
          <w:highlight w:val="none"/>
        </w:rPr>
        <w:t>填表要求：</w:t>
      </w:r>
    </w:p>
    <w:p>
      <w:pPr>
        <w:adjustRightInd w:val="0"/>
        <w:snapToGrid w:val="0"/>
        <w:spacing w:line="360" w:lineRule="auto"/>
        <w:rPr>
          <w:rFonts w:hint="eastAsia" w:ascii="仿宋" w:hAnsi="仿宋" w:cs="仿宋"/>
          <w:color w:val="auto"/>
          <w:szCs w:val="21"/>
          <w:highlight w:val="none"/>
        </w:rPr>
      </w:pPr>
      <w:r>
        <w:rPr>
          <w:rFonts w:hint="eastAsia" w:ascii="仿宋" w:hAnsi="仿宋" w:cs="仿宋"/>
          <w:color w:val="auto"/>
          <w:szCs w:val="21"/>
          <w:highlight w:val="none"/>
        </w:rPr>
        <w:t>1．“投标文件响应内容”一栏由投标人按照招标文件要求填写并进行逐项响应。</w:t>
      </w:r>
    </w:p>
    <w:p>
      <w:pPr>
        <w:adjustRightInd w:val="0"/>
        <w:snapToGrid w:val="0"/>
        <w:spacing w:line="360" w:lineRule="auto"/>
        <w:rPr>
          <w:rFonts w:hint="eastAsia" w:ascii="仿宋" w:hAnsi="仿宋" w:cs="仿宋"/>
          <w:color w:val="auto"/>
          <w:szCs w:val="21"/>
          <w:highlight w:val="none"/>
        </w:rPr>
      </w:pPr>
      <w:r>
        <w:rPr>
          <w:rFonts w:hint="eastAsia" w:ascii="仿宋" w:hAnsi="仿宋" w:cs="仿宋"/>
          <w:color w:val="auto"/>
          <w:szCs w:val="21"/>
          <w:highlight w:val="none"/>
        </w:rPr>
        <w:t>2．“偏离程度”一栏根据“投标文件响应内容”与招标文件逐项对照的结果填写。偏离必须用 “正偏离、负偏离或无偏离”三个名称中的一种进行标注。</w:t>
      </w:r>
    </w:p>
    <w:p>
      <w:pPr>
        <w:adjustRightInd w:val="0"/>
        <w:snapToGrid w:val="0"/>
        <w:spacing w:line="360" w:lineRule="auto"/>
        <w:rPr>
          <w:rFonts w:hint="eastAsia" w:ascii="仿宋" w:hAnsi="仿宋" w:cs="仿宋"/>
          <w:color w:val="auto"/>
          <w:szCs w:val="21"/>
          <w:highlight w:val="none"/>
        </w:rPr>
      </w:pPr>
      <w:r>
        <w:rPr>
          <w:rFonts w:hint="eastAsia" w:ascii="仿宋" w:hAnsi="仿宋" w:cs="仿宋"/>
          <w:color w:val="auto"/>
          <w:szCs w:val="21"/>
          <w:highlight w:val="none"/>
        </w:rPr>
        <w:t>3．“偏离说明”一栏由投标人对偏离的情况做详细说明。</w:t>
      </w:r>
    </w:p>
    <w:p>
      <w:pPr>
        <w:adjustRightInd w:val="0"/>
        <w:snapToGrid w:val="0"/>
        <w:spacing w:line="360" w:lineRule="auto"/>
        <w:rPr>
          <w:rFonts w:hint="eastAsia" w:ascii="仿宋" w:hAnsi="仿宋" w:cs="仿宋"/>
          <w:color w:val="auto"/>
          <w:szCs w:val="21"/>
          <w:highlight w:val="none"/>
        </w:rPr>
      </w:pPr>
    </w:p>
    <w:p>
      <w:pPr>
        <w:adjustRightInd w:val="0"/>
        <w:snapToGrid w:val="0"/>
        <w:spacing w:line="360" w:lineRule="auto"/>
        <w:rPr>
          <w:rFonts w:hint="eastAsia" w:ascii="仿宋" w:hAnsi="仿宋" w:cs="仿宋"/>
          <w:color w:val="auto"/>
          <w:szCs w:val="21"/>
          <w:highlight w:val="none"/>
        </w:rPr>
      </w:pPr>
    </w:p>
    <w:p>
      <w:pPr>
        <w:adjustRightInd w:val="0"/>
        <w:snapToGrid w:val="0"/>
        <w:spacing w:line="360" w:lineRule="auto"/>
        <w:rPr>
          <w:rFonts w:hint="eastAsia" w:ascii="仿宋" w:hAnsi="仿宋" w:cs="仿宋"/>
          <w:color w:val="auto"/>
          <w:szCs w:val="21"/>
          <w:highlight w:val="none"/>
        </w:rPr>
      </w:pPr>
    </w:p>
    <w:p>
      <w:pPr>
        <w:snapToGrid w:val="0"/>
        <w:spacing w:line="480" w:lineRule="auto"/>
        <w:rPr>
          <w:rFonts w:hint="eastAsia" w:ascii="仿宋" w:hAnsi="仿宋" w:cs="仿宋"/>
          <w:color w:val="auto"/>
          <w:highlight w:val="none"/>
        </w:rPr>
      </w:pPr>
      <w:r>
        <w:rPr>
          <w:rFonts w:hint="eastAsia" w:ascii="仿宋" w:hAnsi="仿宋" w:cs="仿宋"/>
          <w:color w:val="auto"/>
          <w:highlight w:val="none"/>
        </w:rPr>
        <w:t>投标人名称（加盖单位公章）：</w:t>
      </w:r>
      <w:r>
        <w:rPr>
          <w:rFonts w:hint="eastAsia" w:ascii="仿宋" w:hAnsi="仿宋" w:cs="仿宋"/>
          <w:color w:val="auto"/>
          <w:highlight w:val="none"/>
          <w:u w:val="single"/>
        </w:rPr>
        <w:t xml:space="preserve">           </w:t>
      </w:r>
    </w:p>
    <w:p>
      <w:pPr>
        <w:snapToGrid w:val="0"/>
        <w:spacing w:line="480" w:lineRule="auto"/>
        <w:rPr>
          <w:rFonts w:hint="eastAsia" w:ascii="仿宋" w:hAnsi="仿宋" w:cs="仿宋"/>
          <w:color w:val="auto"/>
          <w:highlight w:val="none"/>
        </w:rPr>
      </w:pPr>
      <w:r>
        <w:rPr>
          <w:rFonts w:hint="eastAsia" w:ascii="仿宋" w:hAnsi="仿宋" w:cs="仿宋"/>
          <w:color w:val="auto"/>
          <w:highlight w:val="none"/>
        </w:rPr>
        <w:t>法定代表人（或</w:t>
      </w:r>
      <w:r>
        <w:rPr>
          <w:rFonts w:hint="eastAsia" w:ascii="仿宋" w:hAnsi="仿宋" w:cs="仿宋"/>
          <w:color w:val="auto"/>
          <w:szCs w:val="21"/>
          <w:highlight w:val="none"/>
        </w:rPr>
        <w:t>非法人组织负责人）或</w:t>
      </w:r>
      <w:r>
        <w:rPr>
          <w:rFonts w:hint="eastAsia" w:ascii="仿宋" w:hAnsi="仿宋" w:cs="仿宋"/>
          <w:color w:val="auto"/>
          <w:highlight w:val="none"/>
        </w:rPr>
        <w:t>其</w:t>
      </w:r>
      <w:r>
        <w:rPr>
          <w:rFonts w:hint="eastAsia" w:ascii="仿宋" w:hAnsi="仿宋" w:cs="仿宋"/>
          <w:color w:val="auto"/>
          <w:szCs w:val="21"/>
          <w:highlight w:val="none"/>
        </w:rPr>
        <w:t>授权</w:t>
      </w:r>
      <w:r>
        <w:rPr>
          <w:rFonts w:hint="eastAsia" w:ascii="仿宋" w:hAnsi="仿宋" w:cs="仿宋"/>
          <w:color w:val="auto"/>
          <w:highlight w:val="none"/>
        </w:rPr>
        <w:t>委托</w:t>
      </w:r>
      <w:r>
        <w:rPr>
          <w:rFonts w:hint="eastAsia" w:ascii="仿宋" w:hAnsi="仿宋" w:cs="仿宋"/>
          <w:color w:val="auto"/>
          <w:szCs w:val="21"/>
          <w:highlight w:val="none"/>
        </w:rPr>
        <w:t>人</w:t>
      </w:r>
      <w:r>
        <w:rPr>
          <w:rFonts w:hint="eastAsia" w:ascii="仿宋" w:hAnsi="仿宋" w:cs="仿宋"/>
          <w:color w:val="auto"/>
          <w:highlight w:val="none"/>
        </w:rPr>
        <w:t>(签字或盖章)：</w:t>
      </w:r>
      <w:r>
        <w:rPr>
          <w:rFonts w:hint="eastAsia" w:ascii="仿宋" w:hAnsi="仿宋" w:cs="仿宋"/>
          <w:color w:val="auto"/>
          <w:highlight w:val="none"/>
          <w:u w:val="single"/>
        </w:rPr>
        <w:t xml:space="preserve">           </w:t>
      </w:r>
    </w:p>
    <w:p>
      <w:pPr>
        <w:adjustRightInd w:val="0"/>
        <w:snapToGrid w:val="0"/>
        <w:jc w:val="left"/>
        <w:rPr>
          <w:rFonts w:hint="eastAsia" w:ascii="仿宋" w:hAnsi="仿宋" w:cs="仿宋"/>
          <w:color w:val="auto"/>
          <w:highlight w:val="none"/>
          <w:u w:val="single"/>
        </w:rPr>
      </w:pPr>
      <w:r>
        <w:rPr>
          <w:rFonts w:hint="eastAsia" w:ascii="仿宋" w:hAnsi="仿宋" w:cs="仿宋"/>
          <w:color w:val="auto"/>
          <w:highlight w:val="none"/>
        </w:rPr>
        <w:t>日期：</w:t>
      </w:r>
      <w:r>
        <w:rPr>
          <w:rFonts w:hint="eastAsia" w:ascii="仿宋" w:hAnsi="仿宋" w:cs="仿宋"/>
          <w:color w:val="auto"/>
          <w:highlight w:val="none"/>
          <w:u w:val="single"/>
        </w:rPr>
        <w:t xml:space="preserve">               </w:t>
      </w:r>
    </w:p>
    <w:p>
      <w:pPr>
        <w:pStyle w:val="3"/>
        <w:adjustRightInd w:val="0"/>
        <w:snapToGrid w:val="0"/>
        <w:spacing w:before="0" w:after="0" w:line="240" w:lineRule="auto"/>
        <w:jc w:val="left"/>
        <w:rPr>
          <w:rFonts w:hint="eastAsia" w:ascii="仿宋" w:hAnsi="仿宋" w:cs="仿宋"/>
          <w:color w:val="auto"/>
          <w:szCs w:val="28"/>
          <w:highlight w:val="none"/>
        </w:rPr>
      </w:pPr>
      <w:r>
        <w:rPr>
          <w:rFonts w:hint="eastAsia" w:ascii="仿宋" w:hAnsi="仿宋" w:cs="仿宋"/>
          <w:b w:val="0"/>
          <w:color w:val="auto"/>
          <w:szCs w:val="28"/>
          <w:highlight w:val="none"/>
        </w:rPr>
        <w:br w:type="page"/>
      </w:r>
      <w:r>
        <w:rPr>
          <w:rFonts w:hint="eastAsia" w:ascii="仿宋" w:hAnsi="仿宋" w:cs="仿宋"/>
          <w:color w:val="auto"/>
          <w:szCs w:val="28"/>
          <w:highlight w:val="none"/>
        </w:rPr>
        <w:t>格式14</w:t>
      </w:r>
    </w:p>
    <w:p>
      <w:pPr>
        <w:adjustRightInd w:val="0"/>
        <w:snapToGrid w:val="0"/>
        <w:ind w:right="105" w:rightChars="50"/>
        <w:jc w:val="center"/>
        <w:rPr>
          <w:rFonts w:hint="eastAsia" w:ascii="仿宋" w:hAnsi="仿宋" w:cs="仿宋"/>
          <w:b/>
          <w:bCs/>
          <w:color w:val="auto"/>
          <w:sz w:val="32"/>
          <w:szCs w:val="32"/>
          <w:highlight w:val="none"/>
        </w:rPr>
      </w:pPr>
      <w:bookmarkStart w:id="120" w:name="_Toc8488_WPSOffice_Level2"/>
      <w:bookmarkStart w:id="121" w:name="_Toc4431_WPSOffice_Level2"/>
      <w:r>
        <w:rPr>
          <w:rFonts w:hint="eastAsia" w:ascii="仿宋" w:hAnsi="仿宋" w:cs="仿宋"/>
          <w:b/>
          <w:bCs/>
          <w:color w:val="auto"/>
          <w:sz w:val="32"/>
          <w:szCs w:val="32"/>
          <w:highlight w:val="none"/>
        </w:rPr>
        <w:t>商务条款偏离表</w:t>
      </w:r>
      <w:bookmarkEnd w:id="120"/>
      <w:bookmarkEnd w:id="121"/>
    </w:p>
    <w:p>
      <w:pPr>
        <w:adjustRightInd w:val="0"/>
        <w:snapToGrid w:val="0"/>
        <w:spacing w:line="360" w:lineRule="auto"/>
        <w:ind w:right="105" w:rightChars="50"/>
        <w:jc w:val="left"/>
        <w:rPr>
          <w:rFonts w:hint="eastAsia" w:ascii="仿宋" w:hAnsi="仿宋" w:cs="仿宋"/>
          <w:b/>
          <w:bCs/>
          <w:color w:val="auto"/>
          <w:szCs w:val="21"/>
          <w:highlight w:val="none"/>
        </w:rPr>
      </w:pPr>
      <w:r>
        <w:rPr>
          <w:rFonts w:hint="eastAsia" w:ascii="仿宋" w:hAnsi="仿宋" w:cs="仿宋"/>
          <w:b/>
          <w:bCs/>
          <w:color w:val="auto"/>
          <w:szCs w:val="21"/>
          <w:highlight w:val="none"/>
        </w:rPr>
        <w:t xml:space="preserve">包号： </w:t>
      </w:r>
    </w:p>
    <w:tbl>
      <w:tblPr>
        <w:tblStyle w:val="14"/>
        <w:tblW w:w="8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3737"/>
        <w:gridCol w:w="2370"/>
        <w:gridCol w:w="926"/>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770" w:type="dxa"/>
            <w:noWrap w:val="0"/>
            <w:vAlign w:val="center"/>
          </w:tcPr>
          <w:p>
            <w:pPr>
              <w:adjustRightInd w:val="0"/>
              <w:snapToGrid w:val="0"/>
              <w:ind w:right="-48" w:rightChars="-23"/>
              <w:jc w:val="center"/>
              <w:rPr>
                <w:rFonts w:hint="eastAsia" w:ascii="仿宋" w:hAnsi="仿宋" w:cs="仿宋"/>
                <w:color w:val="auto"/>
                <w:szCs w:val="21"/>
                <w:highlight w:val="none"/>
              </w:rPr>
            </w:pPr>
            <w:r>
              <w:rPr>
                <w:rFonts w:hint="eastAsia" w:ascii="仿宋" w:hAnsi="仿宋" w:cs="仿宋"/>
                <w:color w:val="auto"/>
                <w:szCs w:val="21"/>
                <w:highlight w:val="none"/>
              </w:rPr>
              <w:t>序号</w:t>
            </w:r>
          </w:p>
        </w:tc>
        <w:tc>
          <w:tcPr>
            <w:tcW w:w="3737" w:type="dxa"/>
            <w:noWrap w:val="0"/>
            <w:vAlign w:val="center"/>
          </w:tcPr>
          <w:p>
            <w:pPr>
              <w:adjustRightInd w:val="0"/>
              <w:snapToGrid w:val="0"/>
              <w:ind w:right="-73" w:rightChars="-35"/>
              <w:jc w:val="center"/>
              <w:rPr>
                <w:rFonts w:hint="eastAsia" w:ascii="仿宋" w:hAnsi="仿宋" w:cs="仿宋"/>
                <w:color w:val="auto"/>
                <w:szCs w:val="21"/>
                <w:highlight w:val="none"/>
              </w:rPr>
            </w:pPr>
            <w:r>
              <w:rPr>
                <w:rFonts w:hint="eastAsia" w:ascii="仿宋" w:hAnsi="仿宋" w:cs="仿宋"/>
                <w:color w:val="auto"/>
                <w:szCs w:val="21"/>
                <w:highlight w:val="none"/>
              </w:rPr>
              <w:t>招标文件的商务条款</w:t>
            </w:r>
          </w:p>
          <w:p>
            <w:pPr>
              <w:adjustRightInd w:val="0"/>
              <w:snapToGrid w:val="0"/>
              <w:ind w:right="-73" w:rightChars="-35"/>
              <w:jc w:val="center"/>
              <w:rPr>
                <w:rFonts w:hint="eastAsia" w:ascii="仿宋" w:hAnsi="仿宋" w:cs="仿宋"/>
                <w:color w:val="auto"/>
                <w:szCs w:val="21"/>
                <w:highlight w:val="none"/>
              </w:rPr>
            </w:pPr>
            <w:r>
              <w:rPr>
                <w:rFonts w:hint="eastAsia" w:ascii="仿宋" w:hAnsi="仿宋" w:cs="仿宋"/>
                <w:color w:val="auto"/>
                <w:szCs w:val="21"/>
                <w:highlight w:val="none"/>
              </w:rPr>
              <w:t>（</w:t>
            </w:r>
            <w:r>
              <w:rPr>
                <w:rFonts w:hint="eastAsia" w:ascii="仿宋" w:hAnsi="仿宋" w:cs="仿宋"/>
                <w:b/>
                <w:color w:val="auto"/>
                <w:sz w:val="18"/>
                <w:szCs w:val="18"/>
                <w:highlight w:val="none"/>
              </w:rPr>
              <w:t>实质性要求及重要指标用★标注，★标注项不得负偏离，如果负偏离，则投标文件无效。</w:t>
            </w:r>
            <w:r>
              <w:rPr>
                <w:rFonts w:hint="eastAsia" w:ascii="仿宋" w:hAnsi="仿宋" w:cs="仿宋"/>
                <w:color w:val="auto"/>
                <w:szCs w:val="21"/>
                <w:highlight w:val="none"/>
              </w:rPr>
              <w:t>）</w:t>
            </w:r>
          </w:p>
        </w:tc>
        <w:tc>
          <w:tcPr>
            <w:tcW w:w="2370" w:type="dxa"/>
            <w:noWrap w:val="0"/>
            <w:vAlign w:val="center"/>
          </w:tcPr>
          <w:p>
            <w:pPr>
              <w:adjustRightInd w:val="0"/>
              <w:snapToGrid w:val="0"/>
              <w:ind w:right="-107" w:rightChars="-51"/>
              <w:jc w:val="center"/>
              <w:rPr>
                <w:rFonts w:hint="eastAsia" w:ascii="仿宋" w:hAnsi="仿宋" w:cs="仿宋"/>
                <w:color w:val="auto"/>
                <w:szCs w:val="21"/>
                <w:highlight w:val="none"/>
              </w:rPr>
            </w:pPr>
            <w:r>
              <w:rPr>
                <w:rFonts w:hint="eastAsia" w:ascii="仿宋" w:hAnsi="仿宋" w:cs="仿宋"/>
                <w:color w:val="auto"/>
                <w:szCs w:val="21"/>
                <w:highlight w:val="none"/>
              </w:rPr>
              <w:t>投标文件响应内容</w:t>
            </w:r>
          </w:p>
        </w:tc>
        <w:tc>
          <w:tcPr>
            <w:tcW w:w="926" w:type="dxa"/>
            <w:noWrap w:val="0"/>
            <w:vAlign w:val="center"/>
          </w:tcPr>
          <w:p>
            <w:pPr>
              <w:adjustRightInd w:val="0"/>
              <w:snapToGrid w:val="0"/>
              <w:ind w:left="-58" w:leftChars="-28" w:right="-105" w:rightChars="-50"/>
              <w:rPr>
                <w:rFonts w:hint="eastAsia" w:ascii="仿宋" w:hAnsi="仿宋" w:cs="仿宋"/>
                <w:color w:val="auto"/>
                <w:szCs w:val="21"/>
                <w:highlight w:val="none"/>
              </w:rPr>
            </w:pPr>
            <w:r>
              <w:rPr>
                <w:rFonts w:hint="eastAsia" w:ascii="仿宋" w:hAnsi="仿宋" w:cs="仿宋"/>
                <w:color w:val="auto"/>
                <w:szCs w:val="21"/>
                <w:highlight w:val="none"/>
              </w:rPr>
              <w:t>偏离程度</w:t>
            </w:r>
          </w:p>
        </w:tc>
        <w:tc>
          <w:tcPr>
            <w:tcW w:w="936" w:type="dxa"/>
            <w:noWrap w:val="0"/>
            <w:vAlign w:val="center"/>
          </w:tcPr>
          <w:p>
            <w:pPr>
              <w:adjustRightInd w:val="0"/>
              <w:snapToGrid w:val="0"/>
              <w:ind w:left="-58" w:leftChars="-28" w:right="-105" w:rightChars="-50"/>
              <w:rPr>
                <w:rFonts w:hint="eastAsia" w:ascii="仿宋" w:hAnsi="仿宋" w:cs="仿宋"/>
                <w:color w:val="auto"/>
                <w:szCs w:val="21"/>
                <w:highlight w:val="none"/>
              </w:rPr>
            </w:pPr>
            <w:r>
              <w:rPr>
                <w:rFonts w:hint="eastAsia" w:ascii="仿宋" w:hAnsi="仿宋" w:cs="仿宋"/>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70" w:type="dxa"/>
            <w:noWrap w:val="0"/>
            <w:vAlign w:val="center"/>
          </w:tcPr>
          <w:p>
            <w:pPr>
              <w:adjustRightInd w:val="0"/>
              <w:snapToGrid w:val="0"/>
              <w:ind w:right="105" w:rightChars="50"/>
              <w:jc w:val="center"/>
              <w:rPr>
                <w:rFonts w:hint="eastAsia" w:ascii="仿宋" w:hAnsi="仿宋" w:cs="仿宋"/>
                <w:color w:val="auto"/>
                <w:szCs w:val="21"/>
                <w:highlight w:val="none"/>
              </w:rPr>
            </w:pPr>
            <w:r>
              <w:rPr>
                <w:rFonts w:hint="eastAsia" w:ascii="仿宋" w:hAnsi="仿宋" w:cs="仿宋"/>
                <w:color w:val="auto"/>
                <w:szCs w:val="21"/>
                <w:highlight w:val="none"/>
              </w:rPr>
              <w:t>1</w:t>
            </w:r>
            <w:r>
              <w:rPr>
                <w:rFonts w:hint="eastAsia" w:ascii="仿宋" w:hAnsi="仿宋" w:cs="仿宋"/>
                <w:b/>
                <w:color w:val="auto"/>
                <w:sz w:val="18"/>
                <w:szCs w:val="18"/>
                <w:highlight w:val="none"/>
              </w:rPr>
              <w:t>★</w:t>
            </w:r>
          </w:p>
        </w:tc>
        <w:tc>
          <w:tcPr>
            <w:tcW w:w="3737" w:type="dxa"/>
            <w:noWrap w:val="0"/>
            <w:vAlign w:val="center"/>
          </w:tcPr>
          <w:p>
            <w:pPr>
              <w:adjustRightInd w:val="0"/>
              <w:snapToGrid w:val="0"/>
              <w:rPr>
                <w:rFonts w:hint="eastAsia" w:ascii="仿宋" w:hAnsi="仿宋" w:cs="仿宋"/>
                <w:color w:val="auto"/>
                <w:szCs w:val="21"/>
                <w:highlight w:val="none"/>
              </w:rPr>
            </w:pPr>
            <w:r>
              <w:rPr>
                <w:rFonts w:hint="eastAsia" w:ascii="仿宋" w:hAnsi="仿宋" w:cs="仿宋"/>
                <w:color w:val="auto"/>
                <w:szCs w:val="21"/>
                <w:highlight w:val="none"/>
              </w:rPr>
              <w:t>交货时间：合同签订后至2024年</w:t>
            </w:r>
            <w:r>
              <w:rPr>
                <w:rFonts w:hint="eastAsia" w:ascii="仿宋" w:hAnsi="仿宋" w:cs="仿宋"/>
                <w:color w:val="auto"/>
                <w:szCs w:val="21"/>
                <w:highlight w:val="none"/>
                <w:lang w:val="en-US" w:eastAsia="zh-CN"/>
              </w:rPr>
              <w:t>4</w:t>
            </w:r>
            <w:r>
              <w:rPr>
                <w:rFonts w:hint="eastAsia" w:ascii="仿宋" w:hAnsi="仿宋" w:cs="仿宋"/>
                <w:color w:val="auto"/>
                <w:szCs w:val="21"/>
                <w:highlight w:val="none"/>
              </w:rPr>
              <w:t>月10日前</w:t>
            </w:r>
          </w:p>
        </w:tc>
        <w:tc>
          <w:tcPr>
            <w:tcW w:w="2370" w:type="dxa"/>
            <w:noWrap w:val="0"/>
            <w:vAlign w:val="center"/>
          </w:tcPr>
          <w:p>
            <w:pPr>
              <w:adjustRightInd w:val="0"/>
              <w:snapToGrid w:val="0"/>
              <w:ind w:right="105" w:rightChars="50"/>
              <w:jc w:val="center"/>
              <w:rPr>
                <w:rFonts w:hint="eastAsia" w:ascii="仿宋" w:hAnsi="仿宋" w:cs="仿宋"/>
                <w:color w:val="auto"/>
                <w:szCs w:val="21"/>
                <w:highlight w:val="none"/>
              </w:rPr>
            </w:pPr>
          </w:p>
        </w:tc>
        <w:tc>
          <w:tcPr>
            <w:tcW w:w="926" w:type="dxa"/>
            <w:noWrap w:val="0"/>
            <w:vAlign w:val="center"/>
          </w:tcPr>
          <w:p>
            <w:pPr>
              <w:adjustRightInd w:val="0"/>
              <w:snapToGrid w:val="0"/>
              <w:ind w:right="105" w:rightChars="50"/>
              <w:jc w:val="center"/>
              <w:rPr>
                <w:rFonts w:hint="eastAsia" w:ascii="仿宋" w:hAnsi="仿宋" w:cs="仿宋"/>
                <w:color w:val="auto"/>
                <w:szCs w:val="21"/>
                <w:highlight w:val="none"/>
              </w:rPr>
            </w:pPr>
          </w:p>
        </w:tc>
        <w:tc>
          <w:tcPr>
            <w:tcW w:w="936" w:type="dxa"/>
            <w:noWrap w:val="0"/>
            <w:vAlign w:val="center"/>
          </w:tcPr>
          <w:p>
            <w:pPr>
              <w:adjustRightInd w:val="0"/>
              <w:snapToGrid w:val="0"/>
              <w:ind w:right="105" w:rightChars="50"/>
              <w:jc w:val="center"/>
              <w:rPr>
                <w:rFonts w:hint="eastAsia" w:ascii="仿宋" w:hAnsi="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70" w:type="dxa"/>
            <w:noWrap w:val="0"/>
            <w:vAlign w:val="center"/>
          </w:tcPr>
          <w:p>
            <w:pPr>
              <w:adjustRightInd w:val="0"/>
              <w:snapToGrid w:val="0"/>
              <w:ind w:right="105" w:rightChars="50"/>
              <w:jc w:val="center"/>
              <w:rPr>
                <w:rFonts w:hint="eastAsia" w:ascii="仿宋" w:hAnsi="仿宋" w:cs="仿宋"/>
                <w:color w:val="auto"/>
                <w:szCs w:val="21"/>
                <w:highlight w:val="none"/>
              </w:rPr>
            </w:pPr>
            <w:r>
              <w:rPr>
                <w:rFonts w:hint="eastAsia" w:ascii="仿宋" w:hAnsi="仿宋" w:cs="仿宋"/>
                <w:color w:val="auto"/>
                <w:szCs w:val="21"/>
                <w:highlight w:val="none"/>
              </w:rPr>
              <w:t>2</w:t>
            </w:r>
            <w:r>
              <w:rPr>
                <w:rFonts w:hint="eastAsia" w:ascii="仿宋" w:hAnsi="仿宋" w:cs="仿宋"/>
                <w:b/>
                <w:color w:val="auto"/>
                <w:sz w:val="18"/>
                <w:szCs w:val="18"/>
                <w:highlight w:val="none"/>
              </w:rPr>
              <w:t>★</w:t>
            </w:r>
          </w:p>
        </w:tc>
        <w:tc>
          <w:tcPr>
            <w:tcW w:w="3737" w:type="dxa"/>
            <w:noWrap w:val="0"/>
            <w:vAlign w:val="center"/>
          </w:tcPr>
          <w:p>
            <w:pPr>
              <w:adjustRightInd w:val="0"/>
              <w:snapToGrid w:val="0"/>
              <w:rPr>
                <w:rFonts w:hint="eastAsia" w:ascii="仿宋" w:hAnsi="仿宋" w:cs="仿宋"/>
                <w:color w:val="auto"/>
                <w:szCs w:val="21"/>
                <w:highlight w:val="none"/>
              </w:rPr>
            </w:pPr>
            <w:r>
              <w:rPr>
                <w:rFonts w:hint="eastAsia" w:ascii="仿宋" w:hAnsi="仿宋" w:cs="仿宋"/>
                <w:color w:val="auto"/>
                <w:szCs w:val="21"/>
                <w:highlight w:val="none"/>
              </w:rPr>
              <w:t>交货地点：采购人指定地点</w:t>
            </w:r>
          </w:p>
        </w:tc>
        <w:tc>
          <w:tcPr>
            <w:tcW w:w="2370" w:type="dxa"/>
            <w:noWrap w:val="0"/>
            <w:vAlign w:val="center"/>
          </w:tcPr>
          <w:p>
            <w:pPr>
              <w:adjustRightInd w:val="0"/>
              <w:snapToGrid w:val="0"/>
              <w:ind w:right="105" w:rightChars="50"/>
              <w:jc w:val="center"/>
              <w:rPr>
                <w:rFonts w:hint="eastAsia" w:ascii="仿宋" w:hAnsi="仿宋" w:cs="仿宋"/>
                <w:color w:val="auto"/>
                <w:szCs w:val="21"/>
                <w:highlight w:val="none"/>
              </w:rPr>
            </w:pPr>
          </w:p>
        </w:tc>
        <w:tc>
          <w:tcPr>
            <w:tcW w:w="926" w:type="dxa"/>
            <w:noWrap w:val="0"/>
            <w:vAlign w:val="center"/>
          </w:tcPr>
          <w:p>
            <w:pPr>
              <w:adjustRightInd w:val="0"/>
              <w:snapToGrid w:val="0"/>
              <w:ind w:right="105" w:rightChars="50"/>
              <w:jc w:val="center"/>
              <w:rPr>
                <w:rFonts w:hint="eastAsia" w:ascii="仿宋" w:hAnsi="仿宋" w:cs="仿宋"/>
                <w:color w:val="auto"/>
                <w:szCs w:val="21"/>
                <w:highlight w:val="none"/>
              </w:rPr>
            </w:pPr>
          </w:p>
        </w:tc>
        <w:tc>
          <w:tcPr>
            <w:tcW w:w="936" w:type="dxa"/>
            <w:noWrap w:val="0"/>
            <w:vAlign w:val="center"/>
          </w:tcPr>
          <w:p>
            <w:pPr>
              <w:adjustRightInd w:val="0"/>
              <w:snapToGrid w:val="0"/>
              <w:ind w:right="105" w:rightChars="50"/>
              <w:jc w:val="center"/>
              <w:rPr>
                <w:rFonts w:hint="eastAsia" w:ascii="仿宋" w:hAnsi="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70" w:type="dxa"/>
            <w:noWrap w:val="0"/>
            <w:vAlign w:val="center"/>
          </w:tcPr>
          <w:p>
            <w:pPr>
              <w:adjustRightInd w:val="0"/>
              <w:snapToGrid w:val="0"/>
              <w:ind w:right="105" w:rightChars="50"/>
              <w:jc w:val="center"/>
              <w:rPr>
                <w:rFonts w:hint="eastAsia" w:ascii="仿宋" w:hAnsi="仿宋" w:cs="仿宋"/>
                <w:color w:val="auto"/>
                <w:szCs w:val="21"/>
                <w:highlight w:val="none"/>
              </w:rPr>
            </w:pPr>
            <w:r>
              <w:rPr>
                <w:rFonts w:hint="eastAsia" w:ascii="仿宋" w:hAnsi="仿宋" w:cs="仿宋"/>
                <w:color w:val="auto"/>
                <w:szCs w:val="21"/>
                <w:highlight w:val="none"/>
              </w:rPr>
              <w:t>3</w:t>
            </w:r>
            <w:r>
              <w:rPr>
                <w:rFonts w:hint="eastAsia" w:ascii="仿宋" w:hAnsi="仿宋" w:cs="仿宋"/>
                <w:b/>
                <w:color w:val="auto"/>
                <w:sz w:val="18"/>
                <w:szCs w:val="18"/>
                <w:highlight w:val="none"/>
              </w:rPr>
              <w:t>★</w:t>
            </w:r>
          </w:p>
        </w:tc>
        <w:tc>
          <w:tcPr>
            <w:tcW w:w="3737" w:type="dxa"/>
            <w:noWrap w:val="0"/>
            <w:vAlign w:val="center"/>
          </w:tcPr>
          <w:p>
            <w:pPr>
              <w:adjustRightInd w:val="0"/>
              <w:snapToGrid w:val="0"/>
              <w:rPr>
                <w:rFonts w:hint="eastAsia" w:ascii="仿宋" w:hAnsi="仿宋" w:cs="仿宋"/>
                <w:color w:val="auto"/>
                <w:szCs w:val="21"/>
                <w:highlight w:val="none"/>
              </w:rPr>
            </w:pPr>
            <w:r>
              <w:rPr>
                <w:rFonts w:hint="eastAsia" w:ascii="仿宋" w:hAnsi="仿宋" w:cs="仿宋"/>
                <w:color w:val="auto"/>
                <w:szCs w:val="21"/>
                <w:highlight w:val="none"/>
              </w:rPr>
              <w:t>付款方式及条件：（1）货物送达采购人指定地点，在施肥作业前抽样检测合格且与投标时所投产品一致，支付合同价款30%；（2）所有村镇肥料全部施撒完成后，并且经过抽样检测合格（施肥前（上批粮食作物收割后）检测一次，施肥后（下批粮食作物种植前）检测一次，共计两次），支付合同价款60%；（3）施肥完成后本年度农作物一个生长周期结束产品符合要求，支付剩余尾款10%。</w:t>
            </w:r>
          </w:p>
        </w:tc>
        <w:tc>
          <w:tcPr>
            <w:tcW w:w="2370" w:type="dxa"/>
            <w:noWrap w:val="0"/>
            <w:vAlign w:val="center"/>
          </w:tcPr>
          <w:p>
            <w:pPr>
              <w:adjustRightInd w:val="0"/>
              <w:snapToGrid w:val="0"/>
              <w:ind w:right="105" w:rightChars="50"/>
              <w:jc w:val="center"/>
              <w:rPr>
                <w:rFonts w:hint="eastAsia" w:ascii="仿宋" w:hAnsi="仿宋" w:cs="仿宋"/>
                <w:color w:val="auto"/>
                <w:szCs w:val="21"/>
                <w:highlight w:val="none"/>
              </w:rPr>
            </w:pPr>
          </w:p>
        </w:tc>
        <w:tc>
          <w:tcPr>
            <w:tcW w:w="926" w:type="dxa"/>
            <w:noWrap w:val="0"/>
            <w:vAlign w:val="center"/>
          </w:tcPr>
          <w:p>
            <w:pPr>
              <w:adjustRightInd w:val="0"/>
              <w:snapToGrid w:val="0"/>
              <w:ind w:right="105" w:rightChars="50"/>
              <w:jc w:val="center"/>
              <w:rPr>
                <w:rFonts w:hint="eastAsia" w:ascii="仿宋" w:hAnsi="仿宋" w:cs="仿宋"/>
                <w:color w:val="auto"/>
                <w:szCs w:val="21"/>
                <w:highlight w:val="none"/>
              </w:rPr>
            </w:pPr>
          </w:p>
        </w:tc>
        <w:tc>
          <w:tcPr>
            <w:tcW w:w="936" w:type="dxa"/>
            <w:noWrap w:val="0"/>
            <w:vAlign w:val="center"/>
          </w:tcPr>
          <w:p>
            <w:pPr>
              <w:adjustRightInd w:val="0"/>
              <w:snapToGrid w:val="0"/>
              <w:ind w:right="105" w:rightChars="50"/>
              <w:jc w:val="center"/>
              <w:rPr>
                <w:rFonts w:hint="eastAsia" w:ascii="仿宋" w:hAnsi="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770" w:type="dxa"/>
            <w:noWrap w:val="0"/>
            <w:vAlign w:val="center"/>
          </w:tcPr>
          <w:p>
            <w:pPr>
              <w:adjustRightInd w:val="0"/>
              <w:snapToGrid w:val="0"/>
              <w:ind w:right="105" w:rightChars="50"/>
              <w:jc w:val="center"/>
              <w:rPr>
                <w:rFonts w:hint="eastAsia" w:ascii="仿宋" w:hAnsi="仿宋" w:cs="仿宋"/>
                <w:color w:val="auto"/>
                <w:szCs w:val="21"/>
                <w:highlight w:val="none"/>
              </w:rPr>
            </w:pPr>
            <w:r>
              <w:rPr>
                <w:rFonts w:hint="eastAsia" w:ascii="仿宋" w:hAnsi="仿宋" w:cs="仿宋"/>
                <w:color w:val="auto"/>
                <w:szCs w:val="21"/>
                <w:highlight w:val="none"/>
              </w:rPr>
              <w:t>4</w:t>
            </w:r>
            <w:r>
              <w:rPr>
                <w:rFonts w:hint="eastAsia" w:ascii="仿宋" w:hAnsi="仿宋" w:cs="仿宋"/>
                <w:b/>
                <w:color w:val="auto"/>
                <w:sz w:val="18"/>
                <w:szCs w:val="18"/>
                <w:highlight w:val="none"/>
              </w:rPr>
              <w:t>★</w:t>
            </w:r>
          </w:p>
        </w:tc>
        <w:tc>
          <w:tcPr>
            <w:tcW w:w="3737" w:type="dxa"/>
            <w:noWrap w:val="0"/>
            <w:vAlign w:val="center"/>
          </w:tcPr>
          <w:p>
            <w:pPr>
              <w:adjustRightInd w:val="0"/>
              <w:snapToGrid w:val="0"/>
              <w:rPr>
                <w:rFonts w:hint="eastAsia" w:ascii="仿宋" w:hAnsi="仿宋" w:cs="仿宋"/>
                <w:color w:val="auto"/>
                <w:szCs w:val="21"/>
                <w:highlight w:val="none"/>
              </w:rPr>
            </w:pPr>
            <w:r>
              <w:rPr>
                <w:rFonts w:hint="eastAsia" w:ascii="仿宋" w:hAnsi="仿宋" w:cs="仿宋"/>
                <w:color w:val="auto"/>
                <w:szCs w:val="21"/>
                <w:highlight w:val="none"/>
              </w:rPr>
              <w:t>验收标准：按国家有关规定执行</w:t>
            </w:r>
          </w:p>
          <w:p>
            <w:pPr>
              <w:adjustRightInd w:val="0"/>
              <w:snapToGrid w:val="0"/>
              <w:rPr>
                <w:rFonts w:hint="eastAsia" w:ascii="仿宋" w:hAnsi="仿宋" w:cs="仿宋"/>
                <w:color w:val="auto"/>
                <w:szCs w:val="21"/>
                <w:highlight w:val="none"/>
              </w:rPr>
            </w:pPr>
            <w:r>
              <w:rPr>
                <w:rFonts w:hint="eastAsia" w:ascii="仿宋" w:hAnsi="仿宋" w:cs="仿宋"/>
                <w:color w:val="auto"/>
                <w:szCs w:val="21"/>
                <w:highlight w:val="none"/>
              </w:rPr>
              <w:t>验收程序：按照相关法律法规、相关规范以及《辽宁省政府采购履约验收管理办法》（辽财采〔2017〕603号）</w:t>
            </w:r>
          </w:p>
          <w:p>
            <w:pPr>
              <w:adjustRightInd w:val="0"/>
              <w:snapToGrid w:val="0"/>
              <w:rPr>
                <w:rFonts w:hint="eastAsia" w:ascii="仿宋" w:hAnsi="仿宋" w:cs="仿宋"/>
                <w:color w:val="auto"/>
                <w:szCs w:val="21"/>
                <w:highlight w:val="none"/>
              </w:rPr>
            </w:pPr>
            <w:r>
              <w:rPr>
                <w:rFonts w:hint="eastAsia" w:ascii="仿宋" w:hAnsi="仿宋" w:cs="仿宋"/>
                <w:color w:val="auto"/>
                <w:szCs w:val="21"/>
                <w:highlight w:val="none"/>
              </w:rPr>
              <w:t>验收报告：按照相关法律法规、相关规范以及《辽宁省政府采购履约验收管理办法》（辽财采〔2017〕603号）</w:t>
            </w:r>
          </w:p>
          <w:p>
            <w:pPr>
              <w:adjustRightInd w:val="0"/>
              <w:snapToGrid w:val="0"/>
              <w:rPr>
                <w:rFonts w:hint="eastAsia" w:ascii="仿宋" w:hAnsi="仿宋" w:cs="仿宋"/>
                <w:color w:val="auto"/>
                <w:szCs w:val="21"/>
                <w:highlight w:val="none"/>
              </w:rPr>
            </w:pPr>
            <w:r>
              <w:rPr>
                <w:rFonts w:hint="eastAsia" w:ascii="仿宋" w:hAnsi="仿宋" w:cs="仿宋"/>
                <w:color w:val="auto"/>
                <w:szCs w:val="21"/>
                <w:highlight w:val="none"/>
              </w:rPr>
              <w:t>组织验收主体：本项目的履约验收工作由采购人依法组织实施。</w:t>
            </w:r>
          </w:p>
        </w:tc>
        <w:tc>
          <w:tcPr>
            <w:tcW w:w="2370" w:type="dxa"/>
            <w:noWrap w:val="0"/>
            <w:vAlign w:val="center"/>
          </w:tcPr>
          <w:p>
            <w:pPr>
              <w:adjustRightInd w:val="0"/>
              <w:snapToGrid w:val="0"/>
              <w:ind w:right="105" w:rightChars="50"/>
              <w:jc w:val="center"/>
              <w:rPr>
                <w:rFonts w:hint="eastAsia" w:ascii="仿宋" w:hAnsi="仿宋" w:cs="仿宋"/>
                <w:color w:val="auto"/>
                <w:szCs w:val="21"/>
                <w:highlight w:val="none"/>
              </w:rPr>
            </w:pPr>
          </w:p>
        </w:tc>
        <w:tc>
          <w:tcPr>
            <w:tcW w:w="926" w:type="dxa"/>
            <w:noWrap w:val="0"/>
            <w:vAlign w:val="center"/>
          </w:tcPr>
          <w:p>
            <w:pPr>
              <w:adjustRightInd w:val="0"/>
              <w:snapToGrid w:val="0"/>
              <w:ind w:right="105" w:rightChars="50"/>
              <w:jc w:val="center"/>
              <w:rPr>
                <w:rFonts w:hint="eastAsia" w:ascii="仿宋" w:hAnsi="仿宋" w:cs="仿宋"/>
                <w:color w:val="auto"/>
                <w:szCs w:val="21"/>
                <w:highlight w:val="none"/>
              </w:rPr>
            </w:pPr>
          </w:p>
        </w:tc>
        <w:tc>
          <w:tcPr>
            <w:tcW w:w="936" w:type="dxa"/>
            <w:noWrap w:val="0"/>
            <w:vAlign w:val="center"/>
          </w:tcPr>
          <w:p>
            <w:pPr>
              <w:adjustRightInd w:val="0"/>
              <w:snapToGrid w:val="0"/>
              <w:ind w:right="105" w:rightChars="50"/>
              <w:jc w:val="center"/>
              <w:rPr>
                <w:rFonts w:hint="eastAsia" w:ascii="仿宋" w:hAnsi="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70" w:type="dxa"/>
            <w:noWrap w:val="0"/>
            <w:vAlign w:val="center"/>
          </w:tcPr>
          <w:p>
            <w:pPr>
              <w:adjustRightInd w:val="0"/>
              <w:snapToGrid w:val="0"/>
              <w:ind w:right="105" w:rightChars="50"/>
              <w:jc w:val="center"/>
              <w:rPr>
                <w:rFonts w:hint="eastAsia" w:ascii="仿宋" w:hAnsi="仿宋" w:cs="仿宋"/>
                <w:color w:val="auto"/>
                <w:szCs w:val="21"/>
                <w:highlight w:val="none"/>
              </w:rPr>
            </w:pPr>
            <w:r>
              <w:rPr>
                <w:rFonts w:hint="eastAsia" w:ascii="仿宋" w:hAnsi="仿宋" w:cs="仿宋"/>
                <w:color w:val="auto"/>
                <w:szCs w:val="21"/>
                <w:highlight w:val="none"/>
              </w:rPr>
              <w:t>5</w:t>
            </w:r>
            <w:r>
              <w:rPr>
                <w:rFonts w:hint="eastAsia" w:ascii="仿宋" w:hAnsi="仿宋" w:cs="仿宋"/>
                <w:b/>
                <w:color w:val="auto"/>
                <w:sz w:val="18"/>
                <w:szCs w:val="18"/>
                <w:highlight w:val="none"/>
              </w:rPr>
              <w:t>★</w:t>
            </w:r>
          </w:p>
        </w:tc>
        <w:tc>
          <w:tcPr>
            <w:tcW w:w="3737" w:type="dxa"/>
            <w:noWrap w:val="0"/>
            <w:vAlign w:val="center"/>
          </w:tcPr>
          <w:p>
            <w:pPr>
              <w:adjustRightInd w:val="0"/>
              <w:snapToGrid w:val="0"/>
              <w:rPr>
                <w:rFonts w:hint="eastAsia" w:ascii="仿宋" w:hAnsi="仿宋" w:cs="仿宋"/>
                <w:color w:val="auto"/>
                <w:szCs w:val="21"/>
                <w:highlight w:val="none"/>
              </w:rPr>
            </w:pPr>
            <w:r>
              <w:rPr>
                <w:rFonts w:hint="eastAsia" w:ascii="仿宋" w:hAnsi="仿宋" w:cs="仿宋"/>
                <w:color w:val="auto"/>
                <w:szCs w:val="21"/>
                <w:highlight w:val="none"/>
              </w:rPr>
              <w:t>质量保证期：（ 1 ）年</w:t>
            </w:r>
          </w:p>
        </w:tc>
        <w:tc>
          <w:tcPr>
            <w:tcW w:w="2370" w:type="dxa"/>
            <w:noWrap w:val="0"/>
            <w:vAlign w:val="center"/>
          </w:tcPr>
          <w:p>
            <w:pPr>
              <w:adjustRightInd w:val="0"/>
              <w:snapToGrid w:val="0"/>
              <w:ind w:right="105" w:rightChars="50"/>
              <w:jc w:val="center"/>
              <w:rPr>
                <w:rFonts w:hint="eastAsia" w:ascii="仿宋" w:hAnsi="仿宋" w:cs="仿宋"/>
                <w:color w:val="auto"/>
                <w:szCs w:val="21"/>
                <w:highlight w:val="none"/>
              </w:rPr>
            </w:pPr>
          </w:p>
        </w:tc>
        <w:tc>
          <w:tcPr>
            <w:tcW w:w="926" w:type="dxa"/>
            <w:noWrap w:val="0"/>
            <w:vAlign w:val="center"/>
          </w:tcPr>
          <w:p>
            <w:pPr>
              <w:adjustRightInd w:val="0"/>
              <w:snapToGrid w:val="0"/>
              <w:ind w:right="105" w:rightChars="50"/>
              <w:jc w:val="center"/>
              <w:rPr>
                <w:rFonts w:hint="eastAsia" w:ascii="仿宋" w:hAnsi="仿宋" w:cs="仿宋"/>
                <w:color w:val="auto"/>
                <w:szCs w:val="21"/>
                <w:highlight w:val="none"/>
              </w:rPr>
            </w:pPr>
          </w:p>
        </w:tc>
        <w:tc>
          <w:tcPr>
            <w:tcW w:w="936" w:type="dxa"/>
            <w:noWrap w:val="0"/>
            <w:vAlign w:val="center"/>
          </w:tcPr>
          <w:p>
            <w:pPr>
              <w:adjustRightInd w:val="0"/>
              <w:snapToGrid w:val="0"/>
              <w:ind w:right="105" w:rightChars="50"/>
              <w:jc w:val="center"/>
              <w:rPr>
                <w:rFonts w:hint="eastAsia" w:ascii="仿宋" w:hAnsi="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770" w:type="dxa"/>
            <w:noWrap w:val="0"/>
            <w:vAlign w:val="center"/>
          </w:tcPr>
          <w:p>
            <w:pPr>
              <w:adjustRightInd w:val="0"/>
              <w:snapToGrid w:val="0"/>
              <w:ind w:right="105" w:rightChars="50"/>
              <w:jc w:val="center"/>
              <w:rPr>
                <w:rFonts w:hint="eastAsia" w:ascii="仿宋" w:hAnsi="仿宋" w:cs="仿宋"/>
                <w:color w:val="auto"/>
                <w:szCs w:val="21"/>
                <w:highlight w:val="none"/>
              </w:rPr>
            </w:pPr>
            <w:r>
              <w:rPr>
                <w:rFonts w:hint="eastAsia" w:ascii="仿宋" w:hAnsi="仿宋" w:cs="仿宋"/>
                <w:color w:val="auto"/>
                <w:szCs w:val="21"/>
                <w:highlight w:val="none"/>
              </w:rPr>
              <w:t>6</w:t>
            </w:r>
            <w:r>
              <w:rPr>
                <w:rFonts w:hint="eastAsia" w:ascii="仿宋" w:hAnsi="仿宋" w:cs="仿宋"/>
                <w:b/>
                <w:color w:val="auto"/>
                <w:sz w:val="18"/>
                <w:szCs w:val="18"/>
                <w:highlight w:val="none"/>
              </w:rPr>
              <w:t>★</w:t>
            </w:r>
          </w:p>
        </w:tc>
        <w:tc>
          <w:tcPr>
            <w:tcW w:w="3737" w:type="dxa"/>
            <w:noWrap w:val="0"/>
            <w:vAlign w:val="center"/>
          </w:tcPr>
          <w:p>
            <w:pPr>
              <w:adjustRightInd w:val="0"/>
              <w:snapToGrid w:val="0"/>
              <w:ind w:hanging="1"/>
              <w:rPr>
                <w:rFonts w:ascii="仿宋" w:hAnsi="仿宋" w:cs="仿宋"/>
                <w:color w:val="auto"/>
                <w:szCs w:val="21"/>
                <w:highlight w:val="none"/>
              </w:rPr>
            </w:pPr>
            <w:r>
              <w:rPr>
                <w:rFonts w:hint="eastAsia" w:ascii="仿宋" w:hAnsi="仿宋" w:cs="仿宋"/>
                <w:color w:val="auto"/>
                <w:szCs w:val="21"/>
                <w:highlight w:val="none"/>
              </w:rPr>
              <w:t>热线支持：提供7+24固话+移动电话</w:t>
            </w:r>
          </w:p>
          <w:p>
            <w:pPr>
              <w:adjustRightInd w:val="0"/>
              <w:snapToGrid w:val="0"/>
              <w:ind w:hanging="1"/>
              <w:rPr>
                <w:rFonts w:hint="eastAsia" w:ascii="仿宋" w:hAnsi="仿宋" w:cs="仿宋"/>
                <w:color w:val="auto"/>
                <w:szCs w:val="21"/>
                <w:highlight w:val="none"/>
              </w:rPr>
            </w:pPr>
            <w:r>
              <w:rPr>
                <w:rFonts w:hint="eastAsia" w:ascii="仿宋" w:hAnsi="仿宋" w:cs="仿宋"/>
                <w:color w:val="auto"/>
                <w:szCs w:val="21"/>
                <w:highlight w:val="none"/>
              </w:rPr>
              <w:t>现场支持：（  1  ）小时内响应；（  4  ）小时内到达</w:t>
            </w:r>
          </w:p>
        </w:tc>
        <w:tc>
          <w:tcPr>
            <w:tcW w:w="2370" w:type="dxa"/>
            <w:noWrap w:val="0"/>
            <w:vAlign w:val="center"/>
          </w:tcPr>
          <w:p>
            <w:pPr>
              <w:adjustRightInd w:val="0"/>
              <w:snapToGrid w:val="0"/>
              <w:ind w:right="105" w:rightChars="50"/>
              <w:jc w:val="center"/>
              <w:rPr>
                <w:rFonts w:hint="eastAsia" w:ascii="仿宋" w:hAnsi="仿宋" w:cs="仿宋"/>
                <w:color w:val="auto"/>
                <w:szCs w:val="21"/>
                <w:highlight w:val="none"/>
              </w:rPr>
            </w:pPr>
          </w:p>
        </w:tc>
        <w:tc>
          <w:tcPr>
            <w:tcW w:w="926" w:type="dxa"/>
            <w:noWrap w:val="0"/>
            <w:vAlign w:val="center"/>
          </w:tcPr>
          <w:p>
            <w:pPr>
              <w:adjustRightInd w:val="0"/>
              <w:snapToGrid w:val="0"/>
              <w:ind w:right="105" w:rightChars="50"/>
              <w:jc w:val="center"/>
              <w:rPr>
                <w:rFonts w:hint="eastAsia" w:ascii="仿宋" w:hAnsi="仿宋" w:cs="仿宋"/>
                <w:color w:val="auto"/>
                <w:szCs w:val="21"/>
                <w:highlight w:val="none"/>
              </w:rPr>
            </w:pPr>
          </w:p>
        </w:tc>
        <w:tc>
          <w:tcPr>
            <w:tcW w:w="936" w:type="dxa"/>
            <w:noWrap w:val="0"/>
            <w:vAlign w:val="center"/>
          </w:tcPr>
          <w:p>
            <w:pPr>
              <w:adjustRightInd w:val="0"/>
              <w:snapToGrid w:val="0"/>
              <w:ind w:right="105" w:rightChars="50"/>
              <w:jc w:val="center"/>
              <w:rPr>
                <w:rFonts w:hint="eastAsia" w:ascii="仿宋" w:hAnsi="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70" w:type="dxa"/>
            <w:noWrap w:val="0"/>
            <w:vAlign w:val="center"/>
          </w:tcPr>
          <w:p>
            <w:pPr>
              <w:adjustRightInd w:val="0"/>
              <w:snapToGrid w:val="0"/>
              <w:ind w:right="105" w:rightChars="50"/>
              <w:jc w:val="center"/>
              <w:rPr>
                <w:rFonts w:hint="eastAsia" w:ascii="仿宋" w:hAnsi="仿宋" w:cs="仿宋"/>
                <w:color w:val="auto"/>
                <w:szCs w:val="21"/>
                <w:highlight w:val="none"/>
              </w:rPr>
            </w:pPr>
            <w:r>
              <w:rPr>
                <w:rFonts w:hint="eastAsia" w:ascii="仿宋" w:hAnsi="仿宋" w:cs="仿宋"/>
                <w:color w:val="auto"/>
                <w:szCs w:val="21"/>
                <w:highlight w:val="none"/>
              </w:rPr>
              <w:t>7</w:t>
            </w:r>
            <w:r>
              <w:rPr>
                <w:rFonts w:hint="eastAsia" w:ascii="仿宋" w:hAnsi="仿宋" w:cs="仿宋"/>
                <w:b/>
                <w:color w:val="auto"/>
                <w:sz w:val="18"/>
                <w:szCs w:val="18"/>
                <w:highlight w:val="none"/>
              </w:rPr>
              <w:t>★</w:t>
            </w:r>
          </w:p>
        </w:tc>
        <w:tc>
          <w:tcPr>
            <w:tcW w:w="3737" w:type="dxa"/>
            <w:noWrap w:val="0"/>
            <w:vAlign w:val="center"/>
          </w:tcPr>
          <w:p>
            <w:pPr>
              <w:adjustRightInd w:val="0"/>
              <w:snapToGrid w:val="0"/>
              <w:ind w:hanging="1"/>
              <w:rPr>
                <w:rFonts w:hint="eastAsia" w:ascii="仿宋" w:hAnsi="仿宋" w:cs="仿宋"/>
                <w:color w:val="auto"/>
                <w:szCs w:val="21"/>
                <w:highlight w:val="none"/>
              </w:rPr>
            </w:pPr>
            <w:r>
              <w:rPr>
                <w:rFonts w:hint="eastAsia" w:ascii="仿宋" w:hAnsi="仿宋" w:cs="仿宋"/>
                <w:color w:val="auto"/>
                <w:szCs w:val="21"/>
                <w:highlight w:val="none"/>
              </w:rPr>
              <w:t>售后服务网络：辽宁省内</w:t>
            </w:r>
          </w:p>
        </w:tc>
        <w:tc>
          <w:tcPr>
            <w:tcW w:w="2370" w:type="dxa"/>
            <w:noWrap w:val="0"/>
            <w:vAlign w:val="center"/>
          </w:tcPr>
          <w:p>
            <w:pPr>
              <w:adjustRightInd w:val="0"/>
              <w:snapToGrid w:val="0"/>
              <w:ind w:right="105" w:rightChars="50"/>
              <w:jc w:val="center"/>
              <w:rPr>
                <w:rFonts w:hint="eastAsia" w:ascii="仿宋" w:hAnsi="仿宋" w:cs="仿宋"/>
                <w:color w:val="auto"/>
                <w:szCs w:val="21"/>
                <w:highlight w:val="none"/>
              </w:rPr>
            </w:pPr>
          </w:p>
        </w:tc>
        <w:tc>
          <w:tcPr>
            <w:tcW w:w="926" w:type="dxa"/>
            <w:noWrap w:val="0"/>
            <w:vAlign w:val="center"/>
          </w:tcPr>
          <w:p>
            <w:pPr>
              <w:adjustRightInd w:val="0"/>
              <w:snapToGrid w:val="0"/>
              <w:ind w:right="105" w:rightChars="50"/>
              <w:jc w:val="center"/>
              <w:rPr>
                <w:rFonts w:hint="eastAsia" w:ascii="仿宋" w:hAnsi="仿宋" w:cs="仿宋"/>
                <w:color w:val="auto"/>
                <w:szCs w:val="21"/>
                <w:highlight w:val="none"/>
              </w:rPr>
            </w:pPr>
          </w:p>
        </w:tc>
        <w:tc>
          <w:tcPr>
            <w:tcW w:w="936" w:type="dxa"/>
            <w:noWrap w:val="0"/>
            <w:vAlign w:val="center"/>
          </w:tcPr>
          <w:p>
            <w:pPr>
              <w:adjustRightInd w:val="0"/>
              <w:snapToGrid w:val="0"/>
              <w:ind w:right="105" w:rightChars="50"/>
              <w:jc w:val="center"/>
              <w:rPr>
                <w:rFonts w:hint="eastAsia" w:ascii="仿宋" w:hAnsi="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jc w:val="center"/>
        </w:trPr>
        <w:tc>
          <w:tcPr>
            <w:tcW w:w="770" w:type="dxa"/>
            <w:noWrap w:val="0"/>
            <w:vAlign w:val="center"/>
          </w:tcPr>
          <w:p>
            <w:pPr>
              <w:adjustRightInd w:val="0"/>
              <w:snapToGrid w:val="0"/>
              <w:ind w:right="105" w:rightChars="50"/>
              <w:jc w:val="center"/>
              <w:rPr>
                <w:rFonts w:hint="eastAsia" w:ascii="仿宋" w:hAnsi="仿宋" w:cs="仿宋"/>
                <w:color w:val="auto"/>
                <w:szCs w:val="21"/>
                <w:highlight w:val="none"/>
              </w:rPr>
            </w:pPr>
            <w:r>
              <w:rPr>
                <w:rFonts w:hint="eastAsia" w:ascii="仿宋" w:hAnsi="仿宋" w:cs="仿宋"/>
                <w:color w:val="auto"/>
                <w:szCs w:val="21"/>
                <w:highlight w:val="none"/>
              </w:rPr>
              <w:t>8★</w:t>
            </w:r>
          </w:p>
        </w:tc>
        <w:tc>
          <w:tcPr>
            <w:tcW w:w="3737" w:type="dxa"/>
            <w:noWrap w:val="0"/>
            <w:vAlign w:val="center"/>
          </w:tcPr>
          <w:p>
            <w:pPr>
              <w:adjustRightInd w:val="0"/>
              <w:snapToGrid w:val="0"/>
              <w:ind w:hanging="1"/>
              <w:rPr>
                <w:rFonts w:hint="eastAsia" w:ascii="仿宋" w:hAnsi="仿宋" w:cs="仿宋"/>
                <w:color w:val="auto"/>
                <w:szCs w:val="21"/>
                <w:highlight w:val="none"/>
              </w:rPr>
            </w:pPr>
            <w:r>
              <w:rPr>
                <w:rFonts w:hint="eastAsia" w:ascii="仿宋" w:hAnsi="仿宋" w:cs="仿宋"/>
                <w:color w:val="auto"/>
                <w:szCs w:val="21"/>
                <w:highlight w:val="none"/>
              </w:rPr>
              <w:t>施撒服务具体要求：实施时使用施肥机进行施肥，将生物有机肥按0.2t/亩的标准均匀施撒于耕地表面，并及时利用配置带GPS和计量计记录设备的大型农机进行肥料抛洒。</w:t>
            </w:r>
          </w:p>
          <w:p>
            <w:pPr>
              <w:adjustRightInd w:val="0"/>
              <w:snapToGrid w:val="0"/>
              <w:ind w:hanging="1"/>
              <w:rPr>
                <w:rFonts w:hint="eastAsia" w:ascii="仿宋" w:hAnsi="仿宋" w:cs="仿宋"/>
                <w:color w:val="auto"/>
                <w:szCs w:val="21"/>
                <w:highlight w:val="none"/>
              </w:rPr>
            </w:pPr>
            <w:r>
              <w:rPr>
                <w:rFonts w:hint="eastAsia" w:ascii="仿宋" w:hAnsi="仿宋" w:cs="仿宋"/>
                <w:color w:val="auto"/>
                <w:szCs w:val="21"/>
                <w:highlight w:val="none"/>
              </w:rPr>
              <w:t>中标人提供大型专业的市场最先进的肥料抛洒设备，根据当地的农艺要求和机具性能选用喷福在5—15米范围内，作业速度在每小时40—60亩范围，作业机具要年轻化，不要老旧，作业质量好、肥料抛洒均匀，肥料抛洒过后重喷或漏喷现象不要超过总面积的10%，喷洒量、GPS轨迹、喷洒区域符合本项目要求，如果需多种肥料，搅和时须严格按照科学配比控制，不允许堆拌，设计区域范围内必须采用机械喷洒。</w:t>
            </w:r>
          </w:p>
          <w:p>
            <w:pPr>
              <w:adjustRightInd w:val="0"/>
              <w:snapToGrid w:val="0"/>
              <w:ind w:hanging="1"/>
              <w:rPr>
                <w:rFonts w:hint="eastAsia" w:ascii="仿宋" w:hAnsi="仿宋" w:cs="仿宋"/>
                <w:color w:val="auto"/>
                <w:szCs w:val="21"/>
                <w:highlight w:val="none"/>
              </w:rPr>
            </w:pPr>
            <w:r>
              <w:rPr>
                <w:rFonts w:hint="eastAsia" w:ascii="仿宋" w:hAnsi="仿宋" w:cs="仿宋"/>
                <w:color w:val="auto"/>
                <w:szCs w:val="21"/>
                <w:highlight w:val="none"/>
              </w:rPr>
              <w:t>深松整地作业模式：拖拉机带动单一深松功能的深松机具进行作业，作业深度一般要求超过25cm，拖拉机动力一般要求在80马力以上。</w:t>
            </w:r>
          </w:p>
        </w:tc>
        <w:tc>
          <w:tcPr>
            <w:tcW w:w="2370" w:type="dxa"/>
            <w:noWrap w:val="0"/>
            <w:vAlign w:val="center"/>
          </w:tcPr>
          <w:p>
            <w:pPr>
              <w:adjustRightInd w:val="0"/>
              <w:snapToGrid w:val="0"/>
              <w:ind w:left="-52" w:leftChars="-25" w:right="-16" w:rightChars="-8"/>
              <w:jc w:val="left"/>
              <w:rPr>
                <w:rFonts w:hint="eastAsia" w:ascii="仿宋" w:hAnsi="仿宋" w:cs="仿宋"/>
                <w:color w:val="auto"/>
                <w:szCs w:val="21"/>
                <w:highlight w:val="none"/>
              </w:rPr>
            </w:pPr>
          </w:p>
        </w:tc>
        <w:tc>
          <w:tcPr>
            <w:tcW w:w="926" w:type="dxa"/>
            <w:noWrap w:val="0"/>
            <w:vAlign w:val="center"/>
          </w:tcPr>
          <w:p>
            <w:pPr>
              <w:adjustRightInd w:val="0"/>
              <w:snapToGrid w:val="0"/>
              <w:ind w:right="105" w:rightChars="50"/>
              <w:jc w:val="center"/>
              <w:rPr>
                <w:rFonts w:hint="eastAsia" w:ascii="仿宋" w:hAnsi="仿宋" w:cs="仿宋"/>
                <w:color w:val="auto"/>
                <w:szCs w:val="21"/>
                <w:highlight w:val="none"/>
              </w:rPr>
            </w:pPr>
          </w:p>
        </w:tc>
        <w:tc>
          <w:tcPr>
            <w:tcW w:w="936" w:type="dxa"/>
            <w:noWrap w:val="0"/>
            <w:vAlign w:val="center"/>
          </w:tcPr>
          <w:p>
            <w:pPr>
              <w:adjustRightInd w:val="0"/>
              <w:snapToGrid w:val="0"/>
              <w:ind w:right="105" w:rightChars="50"/>
              <w:jc w:val="center"/>
              <w:rPr>
                <w:rFonts w:hint="eastAsia" w:ascii="仿宋" w:hAnsi="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770" w:type="dxa"/>
            <w:noWrap w:val="0"/>
            <w:vAlign w:val="center"/>
          </w:tcPr>
          <w:p>
            <w:pPr>
              <w:adjustRightInd w:val="0"/>
              <w:snapToGrid w:val="0"/>
              <w:ind w:right="105" w:rightChars="50"/>
              <w:jc w:val="center"/>
              <w:rPr>
                <w:rFonts w:hint="eastAsia" w:ascii="仿宋" w:hAnsi="仿宋" w:cs="仿宋"/>
                <w:color w:val="auto"/>
                <w:szCs w:val="21"/>
                <w:highlight w:val="none"/>
              </w:rPr>
            </w:pPr>
          </w:p>
        </w:tc>
        <w:tc>
          <w:tcPr>
            <w:tcW w:w="3737" w:type="dxa"/>
            <w:noWrap w:val="0"/>
            <w:vAlign w:val="center"/>
          </w:tcPr>
          <w:p>
            <w:pPr>
              <w:adjustRightInd w:val="0"/>
              <w:snapToGrid w:val="0"/>
              <w:ind w:hanging="1"/>
              <w:rPr>
                <w:rFonts w:hint="eastAsia" w:ascii="仿宋" w:hAnsi="仿宋" w:cs="仿宋"/>
                <w:color w:val="auto"/>
                <w:szCs w:val="21"/>
                <w:highlight w:val="none"/>
              </w:rPr>
            </w:pPr>
            <w:r>
              <w:rPr>
                <w:rFonts w:hint="eastAsia" w:ascii="仿宋" w:hAnsi="仿宋" w:cs="仿宋"/>
                <w:color w:val="auto"/>
                <w:szCs w:val="21"/>
                <w:highlight w:val="none"/>
              </w:rPr>
              <w:t>其它</w:t>
            </w:r>
          </w:p>
        </w:tc>
        <w:tc>
          <w:tcPr>
            <w:tcW w:w="2370" w:type="dxa"/>
            <w:noWrap w:val="0"/>
            <w:vAlign w:val="center"/>
          </w:tcPr>
          <w:p>
            <w:pPr>
              <w:adjustRightInd w:val="0"/>
              <w:snapToGrid w:val="0"/>
              <w:ind w:left="-52" w:leftChars="-25" w:right="-16" w:rightChars="-8"/>
              <w:jc w:val="left"/>
              <w:rPr>
                <w:rFonts w:hint="eastAsia" w:ascii="仿宋" w:hAnsi="仿宋" w:cs="仿宋"/>
                <w:color w:val="auto"/>
                <w:szCs w:val="21"/>
                <w:highlight w:val="none"/>
              </w:rPr>
            </w:pPr>
            <w:r>
              <w:rPr>
                <w:rFonts w:hint="eastAsia" w:ascii="仿宋" w:hAnsi="仿宋" w:cs="仿宋"/>
                <w:color w:val="auto"/>
                <w:szCs w:val="21"/>
                <w:highlight w:val="none"/>
              </w:rPr>
              <w:t>采购单位未提供需求而投标人认为需说明及补充的内容在此填列</w:t>
            </w:r>
          </w:p>
        </w:tc>
        <w:tc>
          <w:tcPr>
            <w:tcW w:w="926" w:type="dxa"/>
            <w:noWrap w:val="0"/>
            <w:vAlign w:val="center"/>
          </w:tcPr>
          <w:p>
            <w:pPr>
              <w:adjustRightInd w:val="0"/>
              <w:snapToGrid w:val="0"/>
              <w:ind w:right="105" w:rightChars="50"/>
              <w:jc w:val="center"/>
              <w:rPr>
                <w:rFonts w:hint="eastAsia" w:ascii="仿宋" w:hAnsi="仿宋" w:cs="仿宋"/>
                <w:color w:val="auto"/>
                <w:szCs w:val="21"/>
                <w:highlight w:val="none"/>
              </w:rPr>
            </w:pPr>
          </w:p>
        </w:tc>
        <w:tc>
          <w:tcPr>
            <w:tcW w:w="936" w:type="dxa"/>
            <w:noWrap w:val="0"/>
            <w:vAlign w:val="center"/>
          </w:tcPr>
          <w:p>
            <w:pPr>
              <w:adjustRightInd w:val="0"/>
              <w:snapToGrid w:val="0"/>
              <w:ind w:right="105" w:rightChars="50"/>
              <w:jc w:val="center"/>
              <w:rPr>
                <w:rFonts w:hint="eastAsia" w:ascii="仿宋" w:hAnsi="仿宋" w:cs="仿宋"/>
                <w:color w:val="auto"/>
                <w:szCs w:val="21"/>
                <w:highlight w:val="none"/>
              </w:rPr>
            </w:pPr>
          </w:p>
        </w:tc>
      </w:tr>
    </w:tbl>
    <w:p>
      <w:pPr>
        <w:adjustRightInd w:val="0"/>
        <w:snapToGrid w:val="0"/>
        <w:spacing w:line="360" w:lineRule="auto"/>
        <w:ind w:right="105" w:rightChars="50"/>
        <w:jc w:val="left"/>
        <w:rPr>
          <w:rFonts w:hint="eastAsia" w:ascii="仿宋" w:hAnsi="仿宋" w:cs="仿宋"/>
          <w:color w:val="auto"/>
          <w:szCs w:val="21"/>
          <w:highlight w:val="none"/>
        </w:rPr>
      </w:pPr>
      <w:r>
        <w:rPr>
          <w:rFonts w:hint="eastAsia" w:ascii="仿宋" w:hAnsi="仿宋" w:cs="仿宋"/>
          <w:b/>
          <w:color w:val="auto"/>
          <w:szCs w:val="21"/>
          <w:highlight w:val="none"/>
        </w:rPr>
        <w:t>填表要求：</w:t>
      </w:r>
    </w:p>
    <w:p>
      <w:pPr>
        <w:adjustRightInd w:val="0"/>
        <w:snapToGrid w:val="0"/>
        <w:spacing w:line="360" w:lineRule="auto"/>
        <w:rPr>
          <w:rFonts w:hint="eastAsia" w:ascii="仿宋" w:hAnsi="仿宋" w:cs="仿宋"/>
          <w:color w:val="auto"/>
          <w:szCs w:val="21"/>
          <w:highlight w:val="none"/>
        </w:rPr>
      </w:pPr>
      <w:r>
        <w:rPr>
          <w:rFonts w:hint="eastAsia" w:ascii="仿宋" w:hAnsi="仿宋" w:cs="仿宋"/>
          <w:color w:val="auto"/>
          <w:szCs w:val="21"/>
          <w:highlight w:val="none"/>
        </w:rPr>
        <w:t>1．“投标文件响应内容”一栏由投标人按照招标文件要求填写，进行响应。</w:t>
      </w:r>
    </w:p>
    <w:p>
      <w:pPr>
        <w:adjustRightInd w:val="0"/>
        <w:snapToGrid w:val="0"/>
        <w:spacing w:line="360" w:lineRule="auto"/>
        <w:rPr>
          <w:rFonts w:hint="eastAsia" w:ascii="仿宋" w:hAnsi="仿宋" w:cs="仿宋"/>
          <w:color w:val="auto"/>
          <w:szCs w:val="21"/>
          <w:highlight w:val="none"/>
        </w:rPr>
      </w:pPr>
      <w:r>
        <w:rPr>
          <w:rFonts w:hint="eastAsia" w:ascii="仿宋" w:hAnsi="仿宋" w:cs="仿宋"/>
          <w:color w:val="auto"/>
          <w:szCs w:val="21"/>
          <w:highlight w:val="none"/>
        </w:rPr>
        <w:t>2．“偏离程度”一栏根据“投标文件响应内容”与招标文件逐项对照的结果填写。偏离必须用 “正偏离、负偏离或无偏离”三个名称中的一种进行标注。</w:t>
      </w:r>
    </w:p>
    <w:p>
      <w:pPr>
        <w:adjustRightInd w:val="0"/>
        <w:snapToGrid w:val="0"/>
        <w:spacing w:line="360" w:lineRule="auto"/>
        <w:rPr>
          <w:rFonts w:hint="eastAsia" w:ascii="仿宋" w:hAnsi="仿宋" w:cs="仿宋"/>
          <w:color w:val="auto"/>
          <w:szCs w:val="21"/>
          <w:highlight w:val="none"/>
        </w:rPr>
      </w:pPr>
      <w:r>
        <w:rPr>
          <w:rFonts w:hint="eastAsia" w:ascii="仿宋" w:hAnsi="仿宋" w:cs="仿宋"/>
          <w:color w:val="auto"/>
          <w:szCs w:val="21"/>
          <w:highlight w:val="none"/>
        </w:rPr>
        <w:t>3．“偏离说明”一栏由投标人对偏离的情况做详细说明。</w:t>
      </w:r>
    </w:p>
    <w:p>
      <w:pPr>
        <w:adjustRightInd w:val="0"/>
        <w:snapToGrid w:val="0"/>
        <w:spacing w:line="360" w:lineRule="auto"/>
        <w:rPr>
          <w:rFonts w:hint="eastAsia" w:ascii="仿宋" w:hAnsi="仿宋" w:cs="仿宋"/>
          <w:color w:val="auto"/>
          <w:szCs w:val="21"/>
          <w:highlight w:val="none"/>
        </w:rPr>
      </w:pPr>
    </w:p>
    <w:p>
      <w:pPr>
        <w:spacing w:line="480" w:lineRule="auto"/>
        <w:rPr>
          <w:rFonts w:hint="eastAsia" w:ascii="仿宋" w:hAnsi="仿宋" w:cs="仿宋"/>
          <w:color w:val="auto"/>
          <w:highlight w:val="none"/>
        </w:rPr>
      </w:pPr>
      <w:r>
        <w:rPr>
          <w:rFonts w:hint="eastAsia" w:ascii="仿宋" w:hAnsi="仿宋" w:cs="仿宋"/>
          <w:color w:val="auto"/>
          <w:highlight w:val="none"/>
        </w:rPr>
        <w:t>投标人名称（加盖单位公章）：</w:t>
      </w:r>
      <w:r>
        <w:rPr>
          <w:rFonts w:hint="eastAsia" w:ascii="仿宋" w:hAnsi="仿宋" w:cs="仿宋"/>
          <w:color w:val="auto"/>
          <w:highlight w:val="none"/>
          <w:u w:val="single"/>
        </w:rPr>
        <w:t xml:space="preserve">           </w:t>
      </w:r>
    </w:p>
    <w:p>
      <w:pPr>
        <w:spacing w:line="480" w:lineRule="auto"/>
        <w:rPr>
          <w:rFonts w:hint="eastAsia" w:ascii="仿宋" w:hAnsi="仿宋" w:cs="仿宋"/>
          <w:color w:val="auto"/>
          <w:highlight w:val="none"/>
        </w:rPr>
      </w:pPr>
      <w:r>
        <w:rPr>
          <w:rFonts w:hint="eastAsia" w:ascii="仿宋" w:hAnsi="仿宋" w:cs="仿宋"/>
          <w:color w:val="auto"/>
          <w:highlight w:val="none"/>
        </w:rPr>
        <w:t>法定代表人（或</w:t>
      </w:r>
      <w:r>
        <w:rPr>
          <w:rFonts w:hint="eastAsia" w:ascii="仿宋" w:hAnsi="仿宋" w:cs="仿宋"/>
          <w:color w:val="auto"/>
          <w:szCs w:val="21"/>
          <w:highlight w:val="none"/>
        </w:rPr>
        <w:t>非法人组织负责人）或</w:t>
      </w:r>
      <w:r>
        <w:rPr>
          <w:rFonts w:hint="eastAsia" w:ascii="仿宋" w:hAnsi="仿宋" w:cs="仿宋"/>
          <w:color w:val="auto"/>
          <w:highlight w:val="none"/>
        </w:rPr>
        <w:t>其</w:t>
      </w:r>
      <w:r>
        <w:rPr>
          <w:rFonts w:hint="eastAsia" w:ascii="仿宋" w:hAnsi="仿宋" w:cs="仿宋"/>
          <w:color w:val="auto"/>
          <w:szCs w:val="21"/>
          <w:highlight w:val="none"/>
        </w:rPr>
        <w:t>授权</w:t>
      </w:r>
      <w:r>
        <w:rPr>
          <w:rFonts w:hint="eastAsia" w:ascii="仿宋" w:hAnsi="仿宋" w:cs="仿宋"/>
          <w:color w:val="auto"/>
          <w:highlight w:val="none"/>
        </w:rPr>
        <w:t>委托</w:t>
      </w:r>
      <w:r>
        <w:rPr>
          <w:rFonts w:hint="eastAsia" w:ascii="仿宋" w:hAnsi="仿宋" w:cs="仿宋"/>
          <w:color w:val="auto"/>
          <w:szCs w:val="21"/>
          <w:highlight w:val="none"/>
        </w:rPr>
        <w:t>人</w:t>
      </w:r>
      <w:r>
        <w:rPr>
          <w:rFonts w:hint="eastAsia" w:ascii="仿宋" w:hAnsi="仿宋" w:cs="仿宋"/>
          <w:color w:val="auto"/>
          <w:highlight w:val="none"/>
        </w:rPr>
        <w:t>(签字或盖章)：</w:t>
      </w:r>
      <w:r>
        <w:rPr>
          <w:rFonts w:hint="eastAsia" w:ascii="仿宋" w:hAnsi="仿宋" w:cs="仿宋"/>
          <w:color w:val="auto"/>
          <w:highlight w:val="none"/>
          <w:u w:val="single"/>
        </w:rPr>
        <w:t xml:space="preserve">           </w:t>
      </w:r>
    </w:p>
    <w:p>
      <w:pPr>
        <w:spacing w:line="480" w:lineRule="auto"/>
        <w:rPr>
          <w:rFonts w:hint="eastAsia" w:ascii="仿宋" w:hAnsi="仿宋" w:cs="仿宋"/>
          <w:color w:val="auto"/>
          <w:highlight w:val="none"/>
        </w:rPr>
      </w:pPr>
      <w:r>
        <w:rPr>
          <w:rFonts w:hint="eastAsia" w:ascii="仿宋" w:hAnsi="仿宋" w:cs="仿宋"/>
          <w:color w:val="auto"/>
          <w:highlight w:val="none"/>
        </w:rPr>
        <w:t>日期：</w:t>
      </w:r>
      <w:r>
        <w:rPr>
          <w:rFonts w:hint="eastAsia" w:ascii="仿宋" w:hAnsi="仿宋" w:cs="仿宋"/>
          <w:color w:val="auto"/>
          <w:highlight w:val="none"/>
          <w:u w:val="single"/>
        </w:rPr>
        <w:t xml:space="preserve">                </w:t>
      </w:r>
    </w:p>
    <w:p>
      <w:pPr>
        <w:pStyle w:val="3"/>
        <w:adjustRightInd w:val="0"/>
        <w:snapToGrid w:val="0"/>
        <w:spacing w:before="0" w:after="0" w:line="240" w:lineRule="auto"/>
        <w:jc w:val="left"/>
        <w:rPr>
          <w:rFonts w:hint="eastAsia" w:ascii="仿宋" w:hAnsi="仿宋" w:cs="仿宋"/>
          <w:color w:val="auto"/>
          <w:szCs w:val="28"/>
          <w:highlight w:val="none"/>
        </w:rPr>
      </w:pPr>
      <w:r>
        <w:rPr>
          <w:rFonts w:hint="eastAsia" w:ascii="仿宋" w:hAnsi="仿宋" w:cs="仿宋"/>
          <w:color w:val="auto"/>
          <w:szCs w:val="28"/>
          <w:highlight w:val="none"/>
        </w:rPr>
        <w:br w:type="page"/>
      </w:r>
      <w:r>
        <w:rPr>
          <w:rFonts w:hint="eastAsia" w:ascii="仿宋" w:hAnsi="仿宋" w:cs="仿宋"/>
          <w:color w:val="auto"/>
          <w:szCs w:val="28"/>
          <w:highlight w:val="none"/>
        </w:rPr>
        <w:t>格式15</w:t>
      </w:r>
    </w:p>
    <w:p>
      <w:pPr>
        <w:adjustRightInd w:val="0"/>
        <w:snapToGrid w:val="0"/>
        <w:spacing w:before="319" w:beforeLines="100" w:after="319" w:afterLines="100" w:line="360" w:lineRule="auto"/>
        <w:ind w:right="105" w:rightChars="50"/>
        <w:jc w:val="center"/>
        <w:rPr>
          <w:rFonts w:hint="eastAsia" w:ascii="仿宋" w:hAnsi="仿宋" w:cs="仿宋"/>
          <w:b/>
          <w:bCs/>
          <w:color w:val="auto"/>
          <w:sz w:val="32"/>
          <w:szCs w:val="32"/>
          <w:highlight w:val="none"/>
        </w:rPr>
      </w:pPr>
      <w:bookmarkStart w:id="122" w:name="_Toc20929_WPSOffice_Level2"/>
      <w:bookmarkStart w:id="123" w:name="_Toc9410_WPSOffice_Level2"/>
      <w:r>
        <w:rPr>
          <w:rFonts w:hint="eastAsia" w:ascii="仿宋" w:hAnsi="仿宋" w:cs="仿宋"/>
          <w:b/>
          <w:bCs/>
          <w:color w:val="auto"/>
          <w:sz w:val="32"/>
          <w:szCs w:val="32"/>
          <w:highlight w:val="none"/>
        </w:rPr>
        <w:t>投标人关联单位的说明</w:t>
      </w:r>
      <w:bookmarkEnd w:id="122"/>
      <w:bookmarkEnd w:id="123"/>
    </w:p>
    <w:p>
      <w:pPr>
        <w:adjustRightInd w:val="0"/>
        <w:snapToGrid w:val="0"/>
        <w:spacing w:line="360" w:lineRule="auto"/>
        <w:ind w:right="105" w:rightChars="50" w:firstLine="476" w:firstLineChars="227"/>
        <w:jc w:val="left"/>
        <w:rPr>
          <w:rFonts w:hint="eastAsia" w:ascii="仿宋" w:hAnsi="仿宋" w:cs="仿宋"/>
          <w:color w:val="auto"/>
          <w:szCs w:val="21"/>
          <w:highlight w:val="none"/>
        </w:rPr>
      </w:pPr>
      <w:r>
        <w:rPr>
          <w:rFonts w:hint="eastAsia" w:ascii="仿宋" w:hAnsi="仿宋" w:cs="仿宋"/>
          <w:color w:val="auto"/>
          <w:szCs w:val="21"/>
          <w:highlight w:val="none"/>
        </w:rPr>
        <w:t>说明：投标人应当如实披露与本单位存在下列关联关系的单位名称：</w:t>
      </w:r>
    </w:p>
    <w:p>
      <w:pPr>
        <w:adjustRightInd w:val="0"/>
        <w:snapToGrid w:val="0"/>
        <w:spacing w:line="360" w:lineRule="auto"/>
        <w:ind w:right="105" w:rightChars="50" w:firstLine="476" w:firstLineChars="227"/>
        <w:jc w:val="left"/>
        <w:rPr>
          <w:rFonts w:hint="eastAsia" w:ascii="仿宋" w:hAnsi="仿宋" w:cs="仿宋"/>
          <w:color w:val="auto"/>
          <w:szCs w:val="21"/>
          <w:highlight w:val="none"/>
        </w:rPr>
      </w:pPr>
      <w:bookmarkStart w:id="124" w:name="_Toc2074_WPSOffice_Level2"/>
      <w:bookmarkStart w:id="125" w:name="_Toc31070_WPSOffice_Level2"/>
      <w:r>
        <w:rPr>
          <w:rFonts w:hint="eastAsia" w:ascii="仿宋" w:hAnsi="仿宋" w:cs="仿宋"/>
          <w:color w:val="auto"/>
          <w:szCs w:val="21"/>
          <w:highlight w:val="none"/>
        </w:rPr>
        <w:t>（1）与投标人单位法定代表人（或非法人组织负责人）为同一人的其他单位；</w:t>
      </w:r>
      <w:bookmarkEnd w:id="124"/>
      <w:bookmarkEnd w:id="125"/>
    </w:p>
    <w:p>
      <w:pPr>
        <w:adjustRightInd w:val="0"/>
        <w:snapToGrid w:val="0"/>
        <w:spacing w:line="360" w:lineRule="auto"/>
        <w:ind w:right="105" w:rightChars="50" w:firstLine="476" w:firstLineChars="227"/>
        <w:jc w:val="left"/>
        <w:rPr>
          <w:rFonts w:hint="eastAsia" w:ascii="仿宋" w:hAnsi="仿宋" w:cs="仿宋"/>
          <w:color w:val="auto"/>
          <w:szCs w:val="21"/>
          <w:highlight w:val="none"/>
        </w:rPr>
      </w:pPr>
      <w:bookmarkStart w:id="126" w:name="_Toc27053_WPSOffice_Level2"/>
      <w:bookmarkStart w:id="127" w:name="_Toc889_WPSOffice_Level2"/>
      <w:r>
        <w:rPr>
          <w:rFonts w:hint="eastAsia" w:ascii="仿宋" w:hAnsi="仿宋" w:cs="仿宋"/>
          <w:color w:val="auto"/>
          <w:szCs w:val="21"/>
          <w:highlight w:val="none"/>
        </w:rPr>
        <w:t>（2）与投标人存在直接控股、管理关系的其他单位。</w:t>
      </w:r>
      <w:bookmarkEnd w:id="126"/>
      <w:bookmarkEnd w:id="127"/>
    </w:p>
    <w:p>
      <w:pPr>
        <w:adjustRightInd w:val="0"/>
        <w:snapToGrid w:val="0"/>
        <w:spacing w:line="360" w:lineRule="auto"/>
        <w:ind w:right="105" w:rightChars="50" w:firstLine="476" w:firstLineChars="227"/>
        <w:jc w:val="left"/>
        <w:rPr>
          <w:rFonts w:hint="eastAsia" w:ascii="仿宋" w:hAnsi="仿宋" w:cs="仿宋"/>
          <w:color w:val="auto"/>
          <w:szCs w:val="21"/>
          <w:highlight w:val="none"/>
        </w:rPr>
      </w:pPr>
    </w:p>
    <w:p>
      <w:pPr>
        <w:adjustRightInd w:val="0"/>
        <w:snapToGrid w:val="0"/>
        <w:spacing w:line="360" w:lineRule="auto"/>
        <w:ind w:right="105" w:rightChars="50" w:firstLine="476" w:firstLineChars="227"/>
        <w:jc w:val="left"/>
        <w:rPr>
          <w:rFonts w:hint="eastAsia" w:ascii="仿宋" w:hAnsi="仿宋" w:cs="仿宋"/>
          <w:color w:val="auto"/>
          <w:szCs w:val="21"/>
          <w:highlight w:val="none"/>
        </w:rPr>
      </w:pPr>
      <w:r>
        <w:rPr>
          <w:rFonts w:hint="eastAsia" w:ascii="仿宋" w:hAnsi="仿宋" w:cs="仿宋"/>
          <w:color w:val="auto"/>
          <w:szCs w:val="21"/>
          <w:highlight w:val="none"/>
        </w:rPr>
        <w:t>注：若无此情形，写“无”即可</w:t>
      </w:r>
    </w:p>
    <w:p>
      <w:pPr>
        <w:adjustRightInd w:val="0"/>
        <w:snapToGrid w:val="0"/>
        <w:spacing w:line="360" w:lineRule="auto"/>
        <w:ind w:right="105" w:rightChars="50" w:firstLine="476" w:firstLineChars="227"/>
        <w:jc w:val="left"/>
        <w:rPr>
          <w:rFonts w:hint="eastAsia" w:ascii="仿宋" w:hAnsi="仿宋" w:cs="仿宋"/>
          <w:color w:val="auto"/>
          <w:szCs w:val="21"/>
          <w:highlight w:val="none"/>
        </w:rPr>
      </w:pPr>
    </w:p>
    <w:p>
      <w:pPr>
        <w:adjustRightInd w:val="0"/>
        <w:snapToGrid w:val="0"/>
        <w:spacing w:line="360" w:lineRule="auto"/>
        <w:ind w:right="105" w:rightChars="50" w:firstLine="476" w:firstLineChars="227"/>
        <w:jc w:val="left"/>
        <w:rPr>
          <w:rFonts w:hint="eastAsia" w:ascii="仿宋" w:hAnsi="仿宋" w:cs="仿宋"/>
          <w:color w:val="auto"/>
          <w:szCs w:val="21"/>
          <w:highlight w:val="none"/>
        </w:rPr>
      </w:pPr>
    </w:p>
    <w:p>
      <w:pPr>
        <w:adjustRightInd w:val="0"/>
        <w:snapToGrid w:val="0"/>
        <w:spacing w:line="360" w:lineRule="auto"/>
        <w:ind w:right="105" w:rightChars="50" w:firstLine="476" w:firstLineChars="227"/>
        <w:jc w:val="left"/>
        <w:rPr>
          <w:rFonts w:hint="eastAsia" w:ascii="仿宋" w:hAnsi="仿宋" w:cs="仿宋"/>
          <w:color w:val="auto"/>
          <w:szCs w:val="21"/>
          <w:highlight w:val="none"/>
        </w:rPr>
      </w:pPr>
    </w:p>
    <w:p>
      <w:pPr>
        <w:adjustRightInd w:val="0"/>
        <w:snapToGrid w:val="0"/>
        <w:spacing w:line="360" w:lineRule="auto"/>
        <w:ind w:right="105" w:rightChars="50" w:firstLine="476" w:firstLineChars="227"/>
        <w:jc w:val="left"/>
        <w:rPr>
          <w:rFonts w:hint="eastAsia" w:ascii="仿宋" w:hAnsi="仿宋" w:cs="仿宋"/>
          <w:color w:val="auto"/>
          <w:szCs w:val="21"/>
          <w:highlight w:val="none"/>
        </w:rPr>
      </w:pPr>
    </w:p>
    <w:p>
      <w:pPr>
        <w:adjustRightInd w:val="0"/>
        <w:snapToGrid w:val="0"/>
        <w:spacing w:line="360" w:lineRule="auto"/>
        <w:ind w:right="105" w:rightChars="50" w:firstLine="476" w:firstLineChars="227"/>
        <w:jc w:val="left"/>
        <w:rPr>
          <w:rFonts w:hint="eastAsia" w:ascii="仿宋" w:hAnsi="仿宋" w:cs="仿宋"/>
          <w:color w:val="auto"/>
          <w:szCs w:val="21"/>
          <w:highlight w:val="none"/>
        </w:rPr>
      </w:pPr>
    </w:p>
    <w:p>
      <w:pPr>
        <w:spacing w:line="480" w:lineRule="auto"/>
        <w:rPr>
          <w:rFonts w:hint="eastAsia" w:ascii="仿宋" w:hAnsi="仿宋" w:cs="仿宋"/>
          <w:color w:val="auto"/>
          <w:highlight w:val="none"/>
        </w:rPr>
      </w:pPr>
      <w:r>
        <w:rPr>
          <w:rFonts w:hint="eastAsia" w:ascii="仿宋" w:hAnsi="仿宋" w:cs="仿宋"/>
          <w:color w:val="auto"/>
          <w:highlight w:val="none"/>
        </w:rPr>
        <w:t>投标人名称（加盖单位公章）：</w:t>
      </w:r>
      <w:r>
        <w:rPr>
          <w:rFonts w:hint="eastAsia" w:ascii="仿宋" w:hAnsi="仿宋" w:cs="仿宋"/>
          <w:color w:val="auto"/>
          <w:highlight w:val="none"/>
          <w:u w:val="single"/>
        </w:rPr>
        <w:t xml:space="preserve">           </w:t>
      </w:r>
    </w:p>
    <w:p>
      <w:pPr>
        <w:spacing w:line="480" w:lineRule="auto"/>
        <w:rPr>
          <w:rFonts w:hint="eastAsia" w:ascii="仿宋" w:hAnsi="仿宋" w:cs="仿宋"/>
          <w:color w:val="auto"/>
          <w:highlight w:val="none"/>
        </w:rPr>
      </w:pPr>
      <w:r>
        <w:rPr>
          <w:rFonts w:hint="eastAsia" w:ascii="仿宋" w:hAnsi="仿宋" w:cs="仿宋"/>
          <w:color w:val="auto"/>
          <w:highlight w:val="none"/>
        </w:rPr>
        <w:t>法定代表人（或</w:t>
      </w:r>
      <w:r>
        <w:rPr>
          <w:rFonts w:hint="eastAsia" w:ascii="仿宋" w:hAnsi="仿宋" w:cs="仿宋"/>
          <w:color w:val="auto"/>
          <w:szCs w:val="21"/>
          <w:highlight w:val="none"/>
        </w:rPr>
        <w:t>非法人组织负责人）或</w:t>
      </w:r>
      <w:r>
        <w:rPr>
          <w:rFonts w:hint="eastAsia" w:ascii="仿宋" w:hAnsi="仿宋" w:cs="仿宋"/>
          <w:color w:val="auto"/>
          <w:highlight w:val="none"/>
        </w:rPr>
        <w:t>其</w:t>
      </w:r>
      <w:r>
        <w:rPr>
          <w:rFonts w:hint="eastAsia" w:ascii="仿宋" w:hAnsi="仿宋" w:cs="仿宋"/>
          <w:color w:val="auto"/>
          <w:szCs w:val="21"/>
          <w:highlight w:val="none"/>
        </w:rPr>
        <w:t>授权</w:t>
      </w:r>
      <w:r>
        <w:rPr>
          <w:rFonts w:hint="eastAsia" w:ascii="仿宋" w:hAnsi="仿宋" w:cs="仿宋"/>
          <w:color w:val="auto"/>
          <w:highlight w:val="none"/>
        </w:rPr>
        <w:t>委托</w:t>
      </w:r>
      <w:r>
        <w:rPr>
          <w:rFonts w:hint="eastAsia" w:ascii="仿宋" w:hAnsi="仿宋" w:cs="仿宋"/>
          <w:color w:val="auto"/>
          <w:szCs w:val="21"/>
          <w:highlight w:val="none"/>
        </w:rPr>
        <w:t>人</w:t>
      </w:r>
      <w:r>
        <w:rPr>
          <w:rFonts w:hint="eastAsia" w:ascii="仿宋" w:hAnsi="仿宋" w:cs="仿宋"/>
          <w:color w:val="auto"/>
          <w:highlight w:val="none"/>
        </w:rPr>
        <w:t>(签字或盖章)：</w:t>
      </w:r>
      <w:r>
        <w:rPr>
          <w:rFonts w:hint="eastAsia" w:ascii="仿宋" w:hAnsi="仿宋" w:cs="仿宋"/>
          <w:color w:val="auto"/>
          <w:highlight w:val="none"/>
          <w:u w:val="single"/>
        </w:rPr>
        <w:t xml:space="preserve">           </w:t>
      </w:r>
    </w:p>
    <w:p>
      <w:pPr>
        <w:spacing w:line="480" w:lineRule="auto"/>
        <w:rPr>
          <w:rFonts w:hint="eastAsia" w:ascii="仿宋" w:hAnsi="仿宋" w:cs="仿宋"/>
          <w:color w:val="auto"/>
          <w:highlight w:val="none"/>
        </w:rPr>
      </w:pPr>
      <w:r>
        <w:rPr>
          <w:rFonts w:hint="eastAsia" w:ascii="仿宋" w:hAnsi="仿宋" w:cs="仿宋"/>
          <w:color w:val="auto"/>
          <w:highlight w:val="none"/>
        </w:rPr>
        <w:t>日期：</w:t>
      </w:r>
      <w:r>
        <w:rPr>
          <w:rFonts w:hint="eastAsia" w:ascii="仿宋" w:hAnsi="仿宋" w:cs="仿宋"/>
          <w:color w:val="auto"/>
          <w:highlight w:val="none"/>
          <w:u w:val="single"/>
        </w:rPr>
        <w:t xml:space="preserve">                </w:t>
      </w:r>
    </w:p>
    <w:p>
      <w:pPr>
        <w:adjustRightInd w:val="0"/>
        <w:snapToGrid w:val="0"/>
        <w:spacing w:line="360" w:lineRule="auto"/>
        <w:ind w:right="105" w:rightChars="50"/>
        <w:jc w:val="left"/>
        <w:rPr>
          <w:rFonts w:hint="eastAsia" w:ascii="仿宋" w:hAnsi="仿宋" w:cs="仿宋"/>
          <w:color w:val="auto"/>
          <w:szCs w:val="21"/>
          <w:highlight w:val="none"/>
        </w:rPr>
      </w:pPr>
    </w:p>
    <w:p>
      <w:pPr>
        <w:adjustRightInd w:val="0"/>
        <w:snapToGrid w:val="0"/>
        <w:spacing w:line="360" w:lineRule="auto"/>
        <w:ind w:right="105" w:rightChars="50"/>
        <w:jc w:val="left"/>
        <w:rPr>
          <w:rFonts w:hint="eastAsia" w:ascii="仿宋" w:hAnsi="仿宋" w:cs="仿宋"/>
          <w:color w:val="auto"/>
          <w:szCs w:val="21"/>
          <w:highlight w:val="none"/>
        </w:rPr>
      </w:pPr>
    </w:p>
    <w:p>
      <w:pPr>
        <w:adjustRightInd w:val="0"/>
        <w:snapToGrid w:val="0"/>
        <w:spacing w:line="360" w:lineRule="auto"/>
        <w:ind w:right="105" w:rightChars="50"/>
        <w:jc w:val="left"/>
        <w:rPr>
          <w:rFonts w:hint="eastAsia" w:ascii="仿宋" w:hAnsi="仿宋" w:cs="仿宋"/>
          <w:color w:val="auto"/>
          <w:szCs w:val="21"/>
          <w:highlight w:val="none"/>
        </w:rPr>
      </w:pPr>
    </w:p>
    <w:p>
      <w:pPr>
        <w:pStyle w:val="3"/>
        <w:adjustRightInd w:val="0"/>
        <w:snapToGrid w:val="0"/>
        <w:spacing w:before="0" w:after="0" w:line="240" w:lineRule="auto"/>
        <w:jc w:val="left"/>
        <w:rPr>
          <w:rFonts w:hint="eastAsia" w:ascii="仿宋" w:hAnsi="仿宋" w:cs="仿宋"/>
          <w:color w:val="auto"/>
          <w:szCs w:val="28"/>
          <w:highlight w:val="none"/>
        </w:rPr>
      </w:pPr>
      <w:r>
        <w:rPr>
          <w:rFonts w:hint="eastAsia" w:ascii="仿宋" w:hAnsi="仿宋" w:cs="仿宋"/>
          <w:color w:val="auto"/>
          <w:szCs w:val="28"/>
          <w:highlight w:val="none"/>
        </w:rPr>
        <w:br w:type="page"/>
      </w:r>
      <w:r>
        <w:rPr>
          <w:rFonts w:hint="eastAsia" w:ascii="仿宋" w:hAnsi="仿宋" w:cs="仿宋"/>
          <w:color w:val="auto"/>
          <w:szCs w:val="28"/>
          <w:highlight w:val="none"/>
        </w:rPr>
        <w:t>格式16</w:t>
      </w:r>
    </w:p>
    <w:p>
      <w:pPr>
        <w:spacing w:before="319" w:beforeLines="100" w:after="319" w:afterLines="100" w:line="360" w:lineRule="auto"/>
        <w:ind w:firstLine="640" w:firstLineChars="200"/>
        <w:jc w:val="center"/>
        <w:rPr>
          <w:rFonts w:hint="eastAsia" w:ascii="仿宋" w:hAnsi="仿宋" w:cs="仿宋"/>
          <w:b/>
          <w:bCs/>
          <w:color w:val="auto"/>
          <w:sz w:val="32"/>
          <w:szCs w:val="32"/>
          <w:highlight w:val="none"/>
        </w:rPr>
      </w:pPr>
      <w:bookmarkStart w:id="128" w:name="_Toc6847_WPSOffice_Level2"/>
      <w:bookmarkStart w:id="129" w:name="_Toc13329_WPSOffice_Level2"/>
      <w:r>
        <w:rPr>
          <w:rFonts w:hint="eastAsia" w:ascii="仿宋" w:hAnsi="仿宋" w:cs="仿宋"/>
          <w:b/>
          <w:bCs/>
          <w:color w:val="auto"/>
          <w:sz w:val="32"/>
          <w:szCs w:val="32"/>
          <w:highlight w:val="none"/>
        </w:rPr>
        <w:t>进口产品制造厂家的授权书</w:t>
      </w:r>
      <w:bookmarkEnd w:id="128"/>
      <w:bookmarkEnd w:id="129"/>
      <w:r>
        <w:rPr>
          <w:rFonts w:hint="eastAsia" w:ascii="仿宋" w:hAnsi="仿宋" w:cs="仿宋"/>
          <w:b/>
          <w:bCs/>
          <w:color w:val="auto"/>
          <w:sz w:val="32"/>
          <w:szCs w:val="32"/>
          <w:highlight w:val="none"/>
        </w:rPr>
        <w:t>（注：本项目不适用）</w:t>
      </w:r>
    </w:p>
    <w:p>
      <w:pPr>
        <w:spacing w:line="360" w:lineRule="auto"/>
        <w:rPr>
          <w:rFonts w:hint="eastAsia" w:ascii="仿宋" w:hAnsi="仿宋" w:cs="仿宋"/>
          <w:color w:val="auto"/>
          <w:szCs w:val="21"/>
          <w:highlight w:val="none"/>
          <w:u w:val="single"/>
        </w:rPr>
      </w:pPr>
      <w:r>
        <w:rPr>
          <w:rFonts w:hint="eastAsia" w:ascii="仿宋" w:hAnsi="仿宋" w:cs="仿宋"/>
          <w:color w:val="auto"/>
          <w:szCs w:val="21"/>
          <w:highlight w:val="none"/>
          <w:u w:val="single"/>
        </w:rPr>
        <w:t>（采购人或采购代理机构）：</w:t>
      </w:r>
    </w:p>
    <w:p>
      <w:pPr>
        <w:spacing w:line="360" w:lineRule="auto"/>
        <w:ind w:firstLine="840" w:firstLineChars="400"/>
        <w:rPr>
          <w:rFonts w:hint="eastAsia" w:ascii="仿宋" w:hAnsi="仿宋" w:cs="仿宋"/>
          <w:color w:val="auto"/>
          <w:szCs w:val="21"/>
          <w:highlight w:val="none"/>
        </w:rPr>
      </w:pPr>
      <w:r>
        <w:rPr>
          <w:rFonts w:hint="eastAsia" w:ascii="仿宋" w:hAnsi="仿宋" w:cs="仿宋"/>
          <w:color w:val="auto"/>
          <w:szCs w:val="21"/>
          <w:highlight w:val="none"/>
        </w:rPr>
        <w:t>我们</w:t>
      </w:r>
      <w:r>
        <w:rPr>
          <w:rFonts w:hint="eastAsia" w:ascii="仿宋" w:hAnsi="仿宋" w:cs="仿宋"/>
          <w:color w:val="auto"/>
          <w:szCs w:val="21"/>
          <w:highlight w:val="none"/>
          <w:u w:val="single"/>
        </w:rPr>
        <w:t>（制造商名称）</w:t>
      </w:r>
      <w:r>
        <w:rPr>
          <w:rFonts w:hint="eastAsia" w:ascii="仿宋" w:hAnsi="仿宋" w:cs="仿宋"/>
          <w:color w:val="auto"/>
          <w:szCs w:val="21"/>
          <w:highlight w:val="none"/>
        </w:rPr>
        <w:t>是按</w:t>
      </w:r>
      <w:r>
        <w:rPr>
          <w:rFonts w:hint="eastAsia" w:ascii="仿宋" w:hAnsi="仿宋" w:cs="仿宋"/>
          <w:color w:val="auto"/>
          <w:szCs w:val="21"/>
          <w:highlight w:val="none"/>
          <w:u w:val="single"/>
        </w:rPr>
        <w:t>（国家名称）</w:t>
      </w:r>
      <w:r>
        <w:rPr>
          <w:rFonts w:hint="eastAsia" w:ascii="仿宋" w:hAnsi="仿宋" w:cs="仿宋"/>
          <w:color w:val="auto"/>
          <w:szCs w:val="21"/>
          <w:highlight w:val="none"/>
        </w:rPr>
        <w:t>法律成立的一家制造商，主要营业地点设在</w:t>
      </w:r>
      <w:r>
        <w:rPr>
          <w:rFonts w:hint="eastAsia" w:ascii="仿宋" w:hAnsi="仿宋" w:cs="仿宋"/>
          <w:color w:val="auto"/>
          <w:szCs w:val="21"/>
          <w:highlight w:val="none"/>
          <w:u w:val="single"/>
        </w:rPr>
        <w:t>（制造商地址）</w:t>
      </w:r>
      <w:r>
        <w:rPr>
          <w:rFonts w:hint="eastAsia" w:ascii="仿宋" w:hAnsi="仿宋" w:cs="仿宋"/>
          <w:color w:val="auto"/>
          <w:szCs w:val="21"/>
          <w:highlight w:val="none"/>
        </w:rPr>
        <w:t>。兹指派按</w:t>
      </w:r>
      <w:r>
        <w:rPr>
          <w:rFonts w:hint="eastAsia" w:ascii="仿宋" w:hAnsi="仿宋" w:cs="仿宋"/>
          <w:color w:val="auto"/>
          <w:szCs w:val="21"/>
          <w:highlight w:val="none"/>
          <w:u w:val="single"/>
        </w:rPr>
        <w:t>（国家名称）</w:t>
      </w:r>
      <w:r>
        <w:rPr>
          <w:rFonts w:hint="eastAsia" w:ascii="仿宋" w:hAnsi="仿宋" w:cs="仿宋"/>
          <w:color w:val="auto"/>
          <w:szCs w:val="21"/>
          <w:highlight w:val="none"/>
        </w:rPr>
        <w:t>的法律正式成立的，主要营业地点设在</w:t>
      </w:r>
      <w:r>
        <w:rPr>
          <w:rFonts w:hint="eastAsia" w:ascii="仿宋" w:hAnsi="仿宋" w:cs="仿宋"/>
          <w:color w:val="auto"/>
          <w:szCs w:val="21"/>
          <w:highlight w:val="none"/>
          <w:u w:val="single"/>
        </w:rPr>
        <w:t>（投标人地址）</w:t>
      </w:r>
      <w:r>
        <w:rPr>
          <w:rFonts w:hint="eastAsia" w:ascii="仿宋" w:hAnsi="仿宋" w:cs="仿宋"/>
          <w:color w:val="auto"/>
          <w:szCs w:val="21"/>
          <w:highlight w:val="none"/>
        </w:rPr>
        <w:t>的</w:t>
      </w:r>
      <w:r>
        <w:rPr>
          <w:rFonts w:hint="eastAsia" w:ascii="仿宋" w:hAnsi="仿宋" w:cs="仿宋"/>
          <w:color w:val="auto"/>
          <w:szCs w:val="21"/>
          <w:highlight w:val="none"/>
          <w:u w:val="single"/>
        </w:rPr>
        <w:t>（投标人名称）</w:t>
      </w:r>
      <w:r>
        <w:rPr>
          <w:rFonts w:hint="eastAsia" w:ascii="仿宋" w:hAnsi="仿宋" w:cs="仿宋"/>
          <w:color w:val="auto"/>
          <w:szCs w:val="21"/>
          <w:highlight w:val="none"/>
        </w:rPr>
        <w:t>作为我方真正的合法的代理人进行下列有效的活动：</w:t>
      </w:r>
    </w:p>
    <w:p>
      <w:pPr>
        <w:spacing w:line="360" w:lineRule="auto"/>
        <w:ind w:firstLine="420" w:firstLineChars="200"/>
        <w:rPr>
          <w:rFonts w:hint="eastAsia" w:ascii="仿宋" w:hAnsi="仿宋" w:cs="仿宋"/>
          <w:color w:val="auto"/>
          <w:szCs w:val="21"/>
          <w:highlight w:val="none"/>
        </w:rPr>
      </w:pPr>
      <w:r>
        <w:rPr>
          <w:rFonts w:hint="eastAsia" w:ascii="仿宋" w:hAnsi="仿宋" w:cs="仿宋"/>
          <w:color w:val="auto"/>
          <w:szCs w:val="21"/>
          <w:highlight w:val="none"/>
        </w:rPr>
        <w:t>（1）代表我方办理贵方</w:t>
      </w:r>
      <w:r>
        <w:rPr>
          <w:rFonts w:hint="eastAsia" w:ascii="仿宋" w:hAnsi="仿宋" w:cs="仿宋"/>
          <w:color w:val="auto"/>
          <w:szCs w:val="21"/>
          <w:highlight w:val="none"/>
          <w:u w:val="single"/>
        </w:rPr>
        <w:t xml:space="preserve"> （项目编号、项目名称、包号）</w:t>
      </w:r>
      <w:r>
        <w:rPr>
          <w:rFonts w:hint="eastAsia" w:ascii="仿宋" w:hAnsi="仿宋" w:cs="仿宋"/>
          <w:color w:val="auto"/>
          <w:szCs w:val="21"/>
          <w:highlight w:val="none"/>
        </w:rPr>
        <w:t xml:space="preserve"> 投标邀请要求提供的由我方制造的货物的有关事宜，并对我方具有约束力。</w:t>
      </w:r>
    </w:p>
    <w:p>
      <w:pPr>
        <w:spacing w:line="360" w:lineRule="auto"/>
        <w:ind w:firstLine="420" w:firstLineChars="200"/>
        <w:rPr>
          <w:rFonts w:hint="eastAsia" w:ascii="仿宋" w:hAnsi="仿宋" w:cs="仿宋"/>
          <w:color w:val="auto"/>
          <w:szCs w:val="21"/>
          <w:highlight w:val="none"/>
        </w:rPr>
      </w:pPr>
      <w:r>
        <w:rPr>
          <w:rFonts w:hint="eastAsia" w:ascii="仿宋" w:hAnsi="仿宋" w:cs="仿宋"/>
          <w:color w:val="auto"/>
          <w:szCs w:val="21"/>
          <w:highlight w:val="none"/>
        </w:rPr>
        <w:t>（2）作为制造商，我方保证以投标合作者来约束自己，并对该投标共同和分别承担招标文件中所规定的义务。</w:t>
      </w:r>
    </w:p>
    <w:p>
      <w:pPr>
        <w:spacing w:line="360" w:lineRule="auto"/>
        <w:ind w:firstLine="420" w:firstLineChars="200"/>
        <w:rPr>
          <w:rFonts w:hint="eastAsia" w:ascii="仿宋" w:hAnsi="仿宋" w:cs="仿宋"/>
          <w:color w:val="auto"/>
          <w:szCs w:val="21"/>
          <w:highlight w:val="none"/>
        </w:rPr>
      </w:pPr>
      <w:r>
        <w:rPr>
          <w:rFonts w:hint="eastAsia" w:ascii="仿宋" w:hAnsi="仿宋" w:cs="仿宋"/>
          <w:color w:val="auto"/>
          <w:szCs w:val="21"/>
          <w:highlight w:val="none"/>
        </w:rPr>
        <w:t>（3）我方兹授予</w:t>
      </w:r>
      <w:r>
        <w:rPr>
          <w:rFonts w:hint="eastAsia" w:ascii="仿宋" w:hAnsi="仿宋" w:cs="仿宋"/>
          <w:color w:val="auto"/>
          <w:szCs w:val="21"/>
          <w:highlight w:val="none"/>
          <w:u w:val="single"/>
        </w:rPr>
        <w:t xml:space="preserve"> （投标人名称） </w:t>
      </w:r>
      <w:r>
        <w:rPr>
          <w:rFonts w:hint="eastAsia" w:ascii="仿宋" w:hAnsi="仿宋" w:cs="仿宋"/>
          <w:color w:val="auto"/>
          <w:szCs w:val="21"/>
          <w:highlight w:val="none"/>
        </w:rPr>
        <w:t xml:space="preserve">全权办理和履行上述我方为完成上述各点所必须的事宜，具有替换或撤销的全权。兹确认 </w:t>
      </w:r>
      <w:r>
        <w:rPr>
          <w:rFonts w:hint="eastAsia" w:ascii="仿宋" w:hAnsi="仿宋" w:cs="仿宋"/>
          <w:color w:val="auto"/>
          <w:szCs w:val="21"/>
          <w:highlight w:val="none"/>
          <w:u w:val="single"/>
        </w:rPr>
        <w:t xml:space="preserve">（投标人名称） </w:t>
      </w:r>
      <w:r>
        <w:rPr>
          <w:rFonts w:hint="eastAsia" w:ascii="仿宋" w:hAnsi="仿宋" w:cs="仿宋"/>
          <w:color w:val="auto"/>
          <w:szCs w:val="21"/>
          <w:highlight w:val="none"/>
        </w:rPr>
        <w:t>或其正式授权代表依此合法地办理一切事宜。</w:t>
      </w:r>
    </w:p>
    <w:p>
      <w:pPr>
        <w:spacing w:line="360" w:lineRule="auto"/>
        <w:ind w:firstLine="420" w:firstLineChars="200"/>
        <w:rPr>
          <w:rFonts w:hint="eastAsia" w:ascii="仿宋" w:hAnsi="仿宋" w:cs="仿宋"/>
          <w:color w:val="auto"/>
          <w:szCs w:val="21"/>
          <w:highlight w:val="none"/>
        </w:rPr>
      </w:pPr>
      <w:r>
        <w:rPr>
          <w:rFonts w:hint="eastAsia" w:ascii="仿宋" w:hAnsi="仿宋" w:cs="仿宋"/>
          <w:color w:val="auto"/>
          <w:szCs w:val="21"/>
          <w:highlight w:val="none"/>
        </w:rPr>
        <w:t>（4）我方于</w:t>
      </w:r>
      <w:r>
        <w:rPr>
          <w:rFonts w:hint="eastAsia" w:ascii="仿宋" w:hAnsi="仿宋" w:cs="仿宋"/>
          <w:color w:val="auto"/>
          <w:szCs w:val="21"/>
          <w:highlight w:val="none"/>
          <w:u w:val="single"/>
        </w:rPr>
        <w:t xml:space="preserve"> 年 月 日</w:t>
      </w:r>
      <w:r>
        <w:rPr>
          <w:rFonts w:hint="eastAsia" w:ascii="仿宋" w:hAnsi="仿宋" w:cs="仿宋"/>
          <w:color w:val="auto"/>
          <w:szCs w:val="21"/>
          <w:highlight w:val="none"/>
        </w:rPr>
        <w:t>签署本文件，</w:t>
      </w:r>
      <w:r>
        <w:rPr>
          <w:rFonts w:hint="eastAsia" w:ascii="仿宋" w:hAnsi="仿宋" w:cs="仿宋"/>
          <w:color w:val="auto"/>
          <w:szCs w:val="21"/>
          <w:highlight w:val="none"/>
          <w:u w:val="single"/>
        </w:rPr>
        <w:t xml:space="preserve"> （投标人名称）</w:t>
      </w:r>
      <w:r>
        <w:rPr>
          <w:rFonts w:hint="eastAsia" w:ascii="仿宋" w:hAnsi="仿宋" w:cs="仿宋"/>
          <w:color w:val="auto"/>
          <w:szCs w:val="21"/>
          <w:highlight w:val="none"/>
        </w:rPr>
        <w:t>于</w:t>
      </w:r>
      <w:r>
        <w:rPr>
          <w:rFonts w:hint="eastAsia" w:ascii="仿宋" w:hAnsi="仿宋" w:cs="仿宋"/>
          <w:color w:val="auto"/>
          <w:szCs w:val="21"/>
          <w:highlight w:val="none"/>
          <w:u w:val="single"/>
        </w:rPr>
        <w:t xml:space="preserve">     </w:t>
      </w:r>
      <w:r>
        <w:rPr>
          <w:rFonts w:hint="eastAsia" w:ascii="仿宋" w:hAnsi="仿宋" w:cs="仿宋"/>
          <w:color w:val="auto"/>
          <w:szCs w:val="21"/>
          <w:highlight w:val="none"/>
        </w:rPr>
        <w:t>年</w:t>
      </w:r>
      <w:r>
        <w:rPr>
          <w:rFonts w:hint="eastAsia" w:ascii="仿宋" w:hAnsi="仿宋" w:cs="仿宋"/>
          <w:color w:val="auto"/>
          <w:szCs w:val="21"/>
          <w:highlight w:val="none"/>
          <w:u w:val="single"/>
        </w:rPr>
        <w:t xml:space="preserve">   </w:t>
      </w:r>
      <w:r>
        <w:rPr>
          <w:rFonts w:hint="eastAsia" w:ascii="仿宋" w:hAnsi="仿宋" w:cs="仿宋"/>
          <w:color w:val="auto"/>
          <w:szCs w:val="21"/>
          <w:highlight w:val="none"/>
        </w:rPr>
        <w:t>月</w:t>
      </w:r>
      <w:r>
        <w:rPr>
          <w:rFonts w:hint="eastAsia" w:ascii="仿宋" w:hAnsi="仿宋" w:cs="仿宋"/>
          <w:color w:val="auto"/>
          <w:szCs w:val="21"/>
          <w:highlight w:val="none"/>
          <w:u w:val="single"/>
        </w:rPr>
        <w:t xml:space="preserve">    </w:t>
      </w:r>
      <w:r>
        <w:rPr>
          <w:rFonts w:hint="eastAsia" w:ascii="仿宋" w:hAnsi="仿宋" w:cs="仿宋"/>
          <w:color w:val="auto"/>
          <w:szCs w:val="21"/>
          <w:highlight w:val="none"/>
        </w:rPr>
        <w:t>日接受此件，以此为证。</w:t>
      </w:r>
    </w:p>
    <w:p>
      <w:pPr>
        <w:spacing w:line="360" w:lineRule="auto"/>
        <w:ind w:firstLine="420" w:firstLineChars="200"/>
        <w:rPr>
          <w:rFonts w:hint="eastAsia" w:ascii="仿宋" w:hAnsi="仿宋" w:cs="仿宋"/>
          <w:color w:val="auto"/>
          <w:szCs w:val="21"/>
          <w:highlight w:val="none"/>
        </w:rPr>
      </w:pPr>
    </w:p>
    <w:p>
      <w:pPr>
        <w:spacing w:line="360" w:lineRule="auto"/>
        <w:rPr>
          <w:rFonts w:hint="eastAsia" w:ascii="仿宋" w:hAnsi="仿宋" w:cs="仿宋"/>
          <w:color w:val="auto"/>
          <w:szCs w:val="21"/>
          <w:highlight w:val="none"/>
        </w:rPr>
      </w:pPr>
      <w:r>
        <w:rPr>
          <w:rFonts w:hint="eastAsia" w:ascii="仿宋" w:hAnsi="仿宋" w:cs="仿宋"/>
          <w:color w:val="auto"/>
          <w:szCs w:val="21"/>
          <w:highlight w:val="none"/>
        </w:rPr>
        <w:t>制造商名称（加盖单位公章）：</w:t>
      </w:r>
      <w:r>
        <w:rPr>
          <w:rFonts w:hint="eastAsia" w:ascii="仿宋" w:hAnsi="仿宋" w:cs="仿宋"/>
          <w:color w:val="auto"/>
          <w:szCs w:val="21"/>
          <w:highlight w:val="none"/>
          <w:u w:val="single"/>
        </w:rPr>
        <w:t xml:space="preserve">               </w:t>
      </w:r>
    </w:p>
    <w:p>
      <w:pPr>
        <w:spacing w:line="360" w:lineRule="auto"/>
        <w:rPr>
          <w:rFonts w:hint="eastAsia" w:ascii="仿宋" w:hAnsi="仿宋" w:cs="仿宋"/>
          <w:color w:val="auto"/>
          <w:szCs w:val="21"/>
          <w:highlight w:val="none"/>
          <w:u w:val="single"/>
        </w:rPr>
      </w:pPr>
      <w:r>
        <w:rPr>
          <w:rFonts w:hint="eastAsia" w:ascii="仿宋" w:hAnsi="仿宋" w:cs="仿宋"/>
          <w:color w:val="auto"/>
          <w:szCs w:val="21"/>
          <w:highlight w:val="none"/>
        </w:rPr>
        <w:t>签字人职务和部门：</w:t>
      </w:r>
      <w:r>
        <w:rPr>
          <w:rFonts w:hint="eastAsia" w:ascii="仿宋" w:hAnsi="仿宋" w:cs="仿宋"/>
          <w:color w:val="auto"/>
          <w:szCs w:val="21"/>
          <w:highlight w:val="none"/>
          <w:u w:val="single"/>
        </w:rPr>
        <w:t xml:space="preserve">                         </w:t>
      </w:r>
    </w:p>
    <w:p>
      <w:pPr>
        <w:spacing w:line="360" w:lineRule="auto"/>
        <w:rPr>
          <w:rFonts w:hint="eastAsia" w:ascii="仿宋" w:hAnsi="仿宋" w:cs="仿宋"/>
          <w:color w:val="auto"/>
          <w:szCs w:val="21"/>
          <w:highlight w:val="none"/>
        </w:rPr>
      </w:pPr>
      <w:r>
        <w:rPr>
          <w:rFonts w:hint="eastAsia" w:ascii="仿宋" w:hAnsi="仿宋" w:cs="仿宋"/>
          <w:color w:val="auto"/>
          <w:szCs w:val="21"/>
          <w:highlight w:val="none"/>
        </w:rPr>
        <w:t>签字人姓名：</w:t>
      </w:r>
      <w:r>
        <w:rPr>
          <w:rFonts w:hint="eastAsia" w:ascii="仿宋" w:hAnsi="仿宋" w:cs="仿宋"/>
          <w:color w:val="auto"/>
          <w:szCs w:val="21"/>
          <w:highlight w:val="none"/>
          <w:u w:val="single"/>
        </w:rPr>
        <w:t xml:space="preserve">                               </w:t>
      </w:r>
    </w:p>
    <w:p>
      <w:pPr>
        <w:spacing w:line="360" w:lineRule="auto"/>
        <w:rPr>
          <w:rFonts w:hint="eastAsia" w:ascii="仿宋" w:hAnsi="仿宋" w:cs="仿宋"/>
          <w:color w:val="auto"/>
          <w:szCs w:val="21"/>
          <w:highlight w:val="none"/>
          <w:u w:val="single"/>
        </w:rPr>
      </w:pPr>
      <w:r>
        <w:rPr>
          <w:rFonts w:hint="eastAsia" w:ascii="仿宋" w:hAnsi="仿宋" w:cs="仿宋"/>
          <w:color w:val="auto"/>
          <w:szCs w:val="21"/>
          <w:highlight w:val="none"/>
        </w:rPr>
        <w:t>签字人（签字）：</w:t>
      </w:r>
      <w:r>
        <w:rPr>
          <w:rFonts w:hint="eastAsia" w:ascii="仿宋" w:hAnsi="仿宋" w:cs="仿宋"/>
          <w:color w:val="auto"/>
          <w:szCs w:val="21"/>
          <w:highlight w:val="none"/>
          <w:u w:val="single"/>
        </w:rPr>
        <w:t xml:space="preserve">                           </w:t>
      </w:r>
    </w:p>
    <w:p>
      <w:pPr>
        <w:spacing w:line="360" w:lineRule="auto"/>
        <w:rPr>
          <w:rFonts w:hint="eastAsia" w:ascii="仿宋" w:hAnsi="仿宋" w:cs="仿宋"/>
          <w:color w:val="auto"/>
          <w:szCs w:val="21"/>
          <w:highlight w:val="none"/>
          <w:u w:val="single"/>
        </w:rPr>
      </w:pPr>
      <w:r>
        <w:rPr>
          <w:rFonts w:hint="eastAsia" w:ascii="仿宋" w:hAnsi="仿宋" w:cs="仿宋"/>
          <w:color w:val="auto"/>
          <w:szCs w:val="21"/>
          <w:highlight w:val="none"/>
        </w:rPr>
        <w:t>日期：</w:t>
      </w:r>
      <w:r>
        <w:rPr>
          <w:rFonts w:hint="eastAsia" w:ascii="仿宋" w:hAnsi="仿宋" w:cs="仿宋"/>
          <w:color w:val="auto"/>
          <w:szCs w:val="21"/>
          <w:highlight w:val="none"/>
          <w:u w:val="single"/>
        </w:rPr>
        <w:t xml:space="preserve">                                     </w:t>
      </w:r>
    </w:p>
    <w:p>
      <w:pPr>
        <w:spacing w:line="360" w:lineRule="auto"/>
        <w:ind w:firstLine="420" w:firstLineChars="200"/>
        <w:rPr>
          <w:rFonts w:hint="eastAsia" w:ascii="仿宋" w:hAnsi="仿宋" w:cs="仿宋"/>
          <w:color w:val="auto"/>
          <w:szCs w:val="21"/>
          <w:highlight w:val="none"/>
          <w:u w:val="single"/>
        </w:rPr>
      </w:pPr>
    </w:p>
    <w:p>
      <w:pPr>
        <w:spacing w:line="360" w:lineRule="auto"/>
        <w:ind w:firstLine="420" w:firstLineChars="200"/>
        <w:rPr>
          <w:rFonts w:hint="eastAsia" w:ascii="仿宋" w:hAnsi="仿宋" w:cs="仿宋"/>
          <w:color w:val="auto"/>
          <w:szCs w:val="21"/>
          <w:highlight w:val="none"/>
          <w:u w:val="single"/>
        </w:rPr>
      </w:pPr>
    </w:p>
    <w:p>
      <w:pPr>
        <w:spacing w:line="360" w:lineRule="auto"/>
        <w:ind w:firstLine="420" w:firstLineChars="200"/>
        <w:rPr>
          <w:rFonts w:hint="eastAsia" w:ascii="仿宋" w:hAnsi="仿宋" w:cs="仿宋"/>
          <w:color w:val="auto"/>
          <w:szCs w:val="21"/>
          <w:highlight w:val="none"/>
        </w:rPr>
      </w:pPr>
    </w:p>
    <w:p>
      <w:pPr>
        <w:spacing w:line="360" w:lineRule="auto"/>
        <w:ind w:firstLine="420" w:firstLineChars="200"/>
        <w:rPr>
          <w:rFonts w:hint="eastAsia" w:ascii="仿宋" w:hAnsi="仿宋" w:cs="仿宋"/>
          <w:color w:val="auto"/>
          <w:szCs w:val="21"/>
          <w:highlight w:val="none"/>
        </w:rPr>
      </w:pPr>
      <w:bookmarkStart w:id="130" w:name="_Hlk73968990"/>
      <w:r>
        <w:rPr>
          <w:rFonts w:hint="eastAsia" w:ascii="仿宋" w:hAnsi="仿宋" w:cs="仿宋"/>
          <w:color w:val="auto"/>
          <w:szCs w:val="21"/>
          <w:highlight w:val="none"/>
        </w:rPr>
        <w:t>（以上格式仅供参考，投标人就以上内容自拟格式，但必须体现出制造商名称及地址、被授权单位名称及地址，授权事项中要求明确体现出制造商同意对投标人提供其制造的货物及相关伴随服务等内容）</w:t>
      </w:r>
    </w:p>
    <w:bookmarkEnd w:id="130"/>
    <w:p>
      <w:pPr>
        <w:widowControl/>
        <w:jc w:val="left"/>
        <w:rPr>
          <w:rFonts w:hint="eastAsia" w:ascii="仿宋" w:hAnsi="仿宋" w:cs="仿宋"/>
          <w:color w:val="auto"/>
          <w:szCs w:val="21"/>
          <w:highlight w:val="none"/>
        </w:rPr>
      </w:pPr>
    </w:p>
    <w:p>
      <w:pPr>
        <w:pStyle w:val="3"/>
        <w:adjustRightInd w:val="0"/>
        <w:snapToGrid w:val="0"/>
        <w:spacing w:before="0" w:after="0" w:line="240" w:lineRule="auto"/>
        <w:jc w:val="left"/>
        <w:rPr>
          <w:rFonts w:hint="eastAsia" w:ascii="仿宋" w:hAnsi="仿宋" w:cs="仿宋"/>
          <w:color w:val="auto"/>
          <w:highlight w:val="none"/>
        </w:rPr>
      </w:pPr>
      <w:r>
        <w:rPr>
          <w:rFonts w:hint="eastAsia" w:ascii="仿宋" w:hAnsi="仿宋" w:cs="仿宋"/>
          <w:color w:val="auto"/>
          <w:szCs w:val="28"/>
          <w:highlight w:val="none"/>
        </w:rPr>
        <w:t>格式17</w:t>
      </w:r>
    </w:p>
    <w:p>
      <w:pPr>
        <w:widowControl/>
        <w:jc w:val="center"/>
        <w:rPr>
          <w:rFonts w:hint="eastAsia" w:ascii="仿宋" w:hAnsi="仿宋" w:cs="仿宋"/>
          <w:b/>
          <w:color w:val="auto"/>
          <w:kern w:val="0"/>
          <w:sz w:val="36"/>
          <w:szCs w:val="36"/>
          <w:highlight w:val="none"/>
          <w:lang w:bidi="ar"/>
        </w:rPr>
      </w:pPr>
      <w:r>
        <w:rPr>
          <w:rFonts w:hint="eastAsia" w:ascii="仿宋" w:hAnsi="仿宋" w:cs="仿宋"/>
          <w:b/>
          <w:color w:val="auto"/>
          <w:kern w:val="0"/>
          <w:sz w:val="36"/>
          <w:szCs w:val="36"/>
          <w:highlight w:val="none"/>
          <w:lang w:bidi="ar"/>
        </w:rPr>
        <w:t>中小企业声明函（货物）</w:t>
      </w:r>
    </w:p>
    <w:p>
      <w:pPr>
        <w:widowControl/>
        <w:ind w:firstLine="366" w:firstLineChars="131"/>
        <w:jc w:val="left"/>
        <w:rPr>
          <w:color w:val="auto"/>
          <w:sz w:val="20"/>
          <w:szCs w:val="22"/>
          <w:highlight w:val="none"/>
        </w:rPr>
      </w:pPr>
      <w:r>
        <w:rPr>
          <w:rFonts w:hint="eastAsia" w:ascii="仿宋" w:hAnsi="仿宋" w:cs="仿宋"/>
          <w:color w:val="auto"/>
          <w:kern w:val="0"/>
          <w:sz w:val="28"/>
          <w:szCs w:val="28"/>
          <w:highlight w:val="none"/>
          <w:lang w:bidi="ar"/>
        </w:rPr>
        <w:t>本公司（联合体）郑重声明，根据《政府采购促进中小企业发展管理办法》（财库</w:t>
      </w:r>
      <w:r>
        <w:rPr>
          <w:rFonts w:hint="eastAsia" w:ascii="宋体" w:hAnsi="宋体" w:eastAsia="宋体" w:cs="宋体"/>
          <w:color w:val="auto"/>
          <w:kern w:val="0"/>
          <w:sz w:val="28"/>
          <w:szCs w:val="28"/>
          <w:highlight w:val="none"/>
          <w:lang w:bidi="ar"/>
        </w:rPr>
        <w:t>﹝</w:t>
      </w:r>
      <w:r>
        <w:rPr>
          <w:rFonts w:hint="eastAsia" w:ascii="仿宋" w:hAnsi="仿宋" w:cs="仿宋"/>
          <w:color w:val="auto"/>
          <w:kern w:val="0"/>
          <w:sz w:val="28"/>
          <w:szCs w:val="28"/>
          <w:highlight w:val="none"/>
          <w:lang w:bidi="ar"/>
        </w:rPr>
        <w:t>2020</w:t>
      </w:r>
      <w:r>
        <w:rPr>
          <w:rFonts w:hint="eastAsia" w:ascii="宋体" w:hAnsi="宋体" w:eastAsia="宋体" w:cs="宋体"/>
          <w:color w:val="auto"/>
          <w:kern w:val="0"/>
          <w:sz w:val="28"/>
          <w:szCs w:val="28"/>
          <w:highlight w:val="none"/>
          <w:lang w:bidi="ar"/>
        </w:rPr>
        <w:t>﹞</w:t>
      </w:r>
      <w:r>
        <w:rPr>
          <w:rFonts w:hint="eastAsia" w:ascii="仿宋" w:hAnsi="仿宋" w:cs="仿宋"/>
          <w:color w:val="auto"/>
          <w:kern w:val="0"/>
          <w:sz w:val="28"/>
          <w:szCs w:val="28"/>
          <w:highlight w:val="none"/>
          <w:lang w:bidi="ar"/>
        </w:rPr>
        <w:t>46 号）的规定，本公司（联合体）参加</w:t>
      </w:r>
      <w:r>
        <w:rPr>
          <w:rFonts w:hint="eastAsia" w:ascii="仿宋" w:hAnsi="仿宋" w:cs="仿宋"/>
          <w:i/>
          <w:color w:val="auto"/>
          <w:kern w:val="0"/>
          <w:sz w:val="28"/>
          <w:szCs w:val="28"/>
          <w:highlight w:val="none"/>
          <w:u w:val="single"/>
          <w:lang w:bidi="ar"/>
        </w:rPr>
        <w:t>（单位名称）</w:t>
      </w:r>
      <w:r>
        <w:rPr>
          <w:rFonts w:hint="eastAsia" w:ascii="仿宋" w:hAnsi="仿宋" w:cs="仿宋"/>
          <w:color w:val="auto"/>
          <w:kern w:val="0"/>
          <w:sz w:val="28"/>
          <w:szCs w:val="28"/>
          <w:highlight w:val="none"/>
          <w:lang w:bidi="ar"/>
        </w:rPr>
        <w:t>的</w:t>
      </w:r>
      <w:r>
        <w:rPr>
          <w:rFonts w:hint="eastAsia" w:ascii="仿宋" w:hAnsi="仿宋" w:cs="仿宋"/>
          <w:i/>
          <w:color w:val="auto"/>
          <w:kern w:val="0"/>
          <w:sz w:val="28"/>
          <w:szCs w:val="28"/>
          <w:highlight w:val="none"/>
          <w:u w:val="single"/>
          <w:lang w:bidi="ar"/>
        </w:rPr>
        <w:t>（项目名称）</w:t>
      </w:r>
      <w:r>
        <w:rPr>
          <w:rFonts w:hint="eastAsia" w:ascii="仿宋" w:hAnsi="仿宋" w:cs="仿宋"/>
          <w:color w:val="auto"/>
          <w:kern w:val="0"/>
          <w:sz w:val="28"/>
          <w:szCs w:val="28"/>
          <w:highlight w:val="none"/>
          <w:lang w:bidi="ar"/>
        </w:rPr>
        <w:t xml:space="preserve">采购活动，提供的货物全部由符合政策要求的中小企业制造。相关企业（含联合体中的中小企业、签订分包意向协议的中小企业）的具体情况如下： </w:t>
      </w:r>
    </w:p>
    <w:p>
      <w:pPr>
        <w:widowControl/>
        <w:ind w:firstLine="366" w:firstLineChars="131"/>
        <w:jc w:val="left"/>
        <w:rPr>
          <w:color w:val="auto"/>
          <w:sz w:val="20"/>
          <w:szCs w:val="22"/>
          <w:highlight w:val="none"/>
        </w:rPr>
      </w:pPr>
      <w:r>
        <w:rPr>
          <w:rFonts w:hint="eastAsia" w:ascii="仿宋" w:hAnsi="仿宋" w:cs="仿宋"/>
          <w:color w:val="auto"/>
          <w:kern w:val="0"/>
          <w:sz w:val="28"/>
          <w:szCs w:val="28"/>
          <w:highlight w:val="none"/>
          <w:lang w:bidi="ar"/>
        </w:rPr>
        <w:t>1.</w:t>
      </w:r>
      <w:r>
        <w:rPr>
          <w:rFonts w:hint="eastAsia" w:ascii="仿宋" w:hAnsi="仿宋" w:cs="仿宋"/>
          <w:i/>
          <w:color w:val="auto"/>
          <w:kern w:val="0"/>
          <w:sz w:val="28"/>
          <w:szCs w:val="28"/>
          <w:highlight w:val="none"/>
          <w:u w:val="single"/>
          <w:lang w:bidi="ar"/>
        </w:rPr>
        <w:t>（标的名称）</w:t>
      </w:r>
      <w:r>
        <w:rPr>
          <w:rFonts w:hint="eastAsia" w:ascii="仿宋" w:hAnsi="仿宋" w:cs="仿宋"/>
          <w:color w:val="auto"/>
          <w:kern w:val="0"/>
          <w:sz w:val="28"/>
          <w:szCs w:val="28"/>
          <w:highlight w:val="none"/>
          <w:lang w:bidi="ar"/>
        </w:rPr>
        <w:t>，属于</w:t>
      </w:r>
      <w:r>
        <w:rPr>
          <w:rFonts w:hint="eastAsia" w:ascii="仿宋" w:hAnsi="仿宋" w:cs="仿宋"/>
          <w:i/>
          <w:color w:val="auto"/>
          <w:kern w:val="0"/>
          <w:sz w:val="28"/>
          <w:szCs w:val="28"/>
          <w:highlight w:val="none"/>
          <w:u w:val="single"/>
          <w:lang w:bidi="ar"/>
        </w:rPr>
        <w:t>（采购文件中明确的所属行业）行业</w:t>
      </w:r>
      <w:r>
        <w:rPr>
          <w:rFonts w:hint="eastAsia" w:ascii="仿宋" w:hAnsi="仿宋" w:cs="仿宋"/>
          <w:color w:val="auto"/>
          <w:kern w:val="0"/>
          <w:sz w:val="28"/>
          <w:szCs w:val="28"/>
          <w:highlight w:val="none"/>
          <w:lang w:bidi="ar"/>
        </w:rPr>
        <w:t>；制造商为</w:t>
      </w:r>
      <w:r>
        <w:rPr>
          <w:rFonts w:hint="eastAsia" w:ascii="仿宋" w:hAnsi="仿宋" w:cs="仿宋"/>
          <w:i/>
          <w:color w:val="auto"/>
          <w:kern w:val="0"/>
          <w:sz w:val="28"/>
          <w:szCs w:val="28"/>
          <w:highlight w:val="none"/>
          <w:u w:val="single"/>
          <w:lang w:bidi="ar"/>
        </w:rPr>
        <w:t>（企业名称）</w:t>
      </w:r>
      <w:r>
        <w:rPr>
          <w:rFonts w:hint="eastAsia" w:ascii="仿宋" w:hAnsi="仿宋" w:cs="仿宋"/>
          <w:color w:val="auto"/>
          <w:kern w:val="0"/>
          <w:sz w:val="28"/>
          <w:szCs w:val="28"/>
          <w:highlight w:val="none"/>
          <w:lang w:bidi="ar"/>
        </w:rPr>
        <w:t>，从业人员</w:t>
      </w:r>
      <w:r>
        <w:rPr>
          <w:rFonts w:hint="eastAsia" w:ascii="仿宋" w:hAnsi="仿宋" w:cs="仿宋"/>
          <w:color w:val="auto"/>
          <w:kern w:val="0"/>
          <w:sz w:val="28"/>
          <w:szCs w:val="28"/>
          <w:highlight w:val="none"/>
          <w:u w:val="single"/>
          <w:lang w:bidi="ar"/>
        </w:rPr>
        <w:t xml:space="preserve">    </w:t>
      </w:r>
      <w:r>
        <w:rPr>
          <w:rFonts w:hint="eastAsia" w:ascii="仿宋" w:hAnsi="仿宋" w:cs="仿宋"/>
          <w:color w:val="auto"/>
          <w:kern w:val="0"/>
          <w:sz w:val="28"/>
          <w:szCs w:val="28"/>
          <w:highlight w:val="none"/>
          <w:lang w:bidi="ar"/>
        </w:rPr>
        <w:t>人，营业收入为</w:t>
      </w:r>
      <w:r>
        <w:rPr>
          <w:rFonts w:hint="eastAsia" w:ascii="仿宋" w:hAnsi="仿宋" w:cs="仿宋"/>
          <w:color w:val="auto"/>
          <w:kern w:val="0"/>
          <w:sz w:val="28"/>
          <w:szCs w:val="28"/>
          <w:highlight w:val="none"/>
          <w:u w:val="single"/>
          <w:lang w:bidi="ar"/>
        </w:rPr>
        <w:t xml:space="preserve">    </w:t>
      </w:r>
      <w:r>
        <w:rPr>
          <w:rFonts w:hint="eastAsia" w:ascii="仿宋" w:hAnsi="仿宋" w:cs="仿宋"/>
          <w:color w:val="auto"/>
          <w:kern w:val="0"/>
          <w:sz w:val="28"/>
          <w:szCs w:val="28"/>
          <w:highlight w:val="none"/>
          <w:lang w:bidi="ar"/>
        </w:rPr>
        <w:t>万元，资产总额为</w:t>
      </w:r>
      <w:r>
        <w:rPr>
          <w:rFonts w:hint="eastAsia" w:ascii="仿宋" w:hAnsi="仿宋" w:cs="仿宋"/>
          <w:color w:val="auto"/>
          <w:kern w:val="0"/>
          <w:sz w:val="28"/>
          <w:szCs w:val="28"/>
          <w:highlight w:val="none"/>
          <w:u w:val="single"/>
          <w:lang w:bidi="ar"/>
        </w:rPr>
        <w:t xml:space="preserve">    </w:t>
      </w:r>
      <w:r>
        <w:rPr>
          <w:rFonts w:hint="eastAsia" w:ascii="仿宋" w:hAnsi="仿宋" w:cs="仿宋"/>
          <w:color w:val="auto"/>
          <w:kern w:val="0"/>
          <w:sz w:val="28"/>
          <w:szCs w:val="28"/>
          <w:highlight w:val="none"/>
          <w:lang w:bidi="ar"/>
        </w:rPr>
        <w:t>万元</w:t>
      </w:r>
      <w:r>
        <w:rPr>
          <w:rFonts w:hint="eastAsia" w:ascii="仿宋" w:hAnsi="仿宋" w:cs="仿宋"/>
          <w:color w:val="auto"/>
          <w:kern w:val="0"/>
          <w:sz w:val="28"/>
          <w:szCs w:val="28"/>
          <w:highlight w:val="none"/>
          <w:vertAlign w:val="superscript"/>
          <w:lang w:bidi="ar"/>
        </w:rPr>
        <w:t>1</w:t>
      </w:r>
      <w:r>
        <w:rPr>
          <w:rFonts w:hint="eastAsia" w:ascii="仿宋" w:hAnsi="仿宋" w:cs="仿宋"/>
          <w:color w:val="auto"/>
          <w:kern w:val="0"/>
          <w:sz w:val="28"/>
          <w:szCs w:val="28"/>
          <w:highlight w:val="none"/>
          <w:lang w:bidi="ar"/>
        </w:rPr>
        <w:t>，属于</w:t>
      </w:r>
      <w:r>
        <w:rPr>
          <w:rFonts w:hint="eastAsia" w:ascii="仿宋" w:hAnsi="仿宋" w:cs="仿宋"/>
          <w:i/>
          <w:color w:val="auto"/>
          <w:kern w:val="0"/>
          <w:sz w:val="28"/>
          <w:szCs w:val="28"/>
          <w:highlight w:val="none"/>
          <w:u w:val="single"/>
          <w:lang w:bidi="ar"/>
        </w:rPr>
        <w:t>（中型企业、小型企业、微型企业）</w:t>
      </w:r>
      <w:r>
        <w:rPr>
          <w:rFonts w:hint="eastAsia" w:ascii="仿宋" w:hAnsi="仿宋" w:cs="仿宋"/>
          <w:color w:val="auto"/>
          <w:kern w:val="0"/>
          <w:sz w:val="28"/>
          <w:szCs w:val="28"/>
          <w:highlight w:val="none"/>
          <w:lang w:bidi="ar"/>
        </w:rPr>
        <w:t xml:space="preserve">； </w:t>
      </w:r>
    </w:p>
    <w:p>
      <w:pPr>
        <w:widowControl/>
        <w:ind w:firstLine="366" w:firstLineChars="131"/>
        <w:jc w:val="left"/>
        <w:rPr>
          <w:color w:val="auto"/>
          <w:sz w:val="20"/>
          <w:szCs w:val="22"/>
          <w:highlight w:val="none"/>
        </w:rPr>
      </w:pPr>
      <w:r>
        <w:rPr>
          <w:rFonts w:hint="eastAsia" w:ascii="仿宋" w:hAnsi="仿宋" w:cs="仿宋"/>
          <w:color w:val="auto"/>
          <w:kern w:val="0"/>
          <w:sz w:val="28"/>
          <w:szCs w:val="28"/>
          <w:highlight w:val="none"/>
          <w:lang w:bidi="ar"/>
        </w:rPr>
        <w:t>2.</w:t>
      </w:r>
      <w:r>
        <w:rPr>
          <w:rFonts w:hint="eastAsia" w:ascii="仿宋" w:hAnsi="仿宋" w:cs="仿宋"/>
          <w:i/>
          <w:color w:val="auto"/>
          <w:kern w:val="0"/>
          <w:sz w:val="28"/>
          <w:szCs w:val="28"/>
          <w:highlight w:val="none"/>
          <w:u w:val="single"/>
          <w:lang w:bidi="ar"/>
        </w:rPr>
        <w:t>（标的名称）</w:t>
      </w:r>
      <w:r>
        <w:rPr>
          <w:rFonts w:hint="eastAsia" w:ascii="仿宋" w:hAnsi="仿宋" w:cs="仿宋"/>
          <w:color w:val="auto"/>
          <w:kern w:val="0"/>
          <w:sz w:val="28"/>
          <w:szCs w:val="28"/>
          <w:highlight w:val="none"/>
          <w:lang w:bidi="ar"/>
        </w:rPr>
        <w:t>，属于</w:t>
      </w:r>
      <w:r>
        <w:rPr>
          <w:rFonts w:hint="eastAsia" w:ascii="仿宋" w:hAnsi="仿宋" w:cs="仿宋"/>
          <w:i/>
          <w:color w:val="auto"/>
          <w:kern w:val="0"/>
          <w:sz w:val="28"/>
          <w:szCs w:val="28"/>
          <w:highlight w:val="none"/>
          <w:u w:val="single"/>
          <w:lang w:bidi="ar"/>
        </w:rPr>
        <w:t>（采购文件中明确的所属行业）行业</w:t>
      </w:r>
      <w:r>
        <w:rPr>
          <w:rFonts w:hint="eastAsia" w:ascii="仿宋" w:hAnsi="仿宋" w:cs="仿宋"/>
          <w:color w:val="auto"/>
          <w:kern w:val="0"/>
          <w:sz w:val="28"/>
          <w:szCs w:val="28"/>
          <w:highlight w:val="none"/>
          <w:lang w:bidi="ar"/>
        </w:rPr>
        <w:t>；制造商为</w:t>
      </w:r>
      <w:r>
        <w:rPr>
          <w:rFonts w:hint="eastAsia" w:ascii="仿宋" w:hAnsi="仿宋" w:cs="仿宋"/>
          <w:i/>
          <w:color w:val="auto"/>
          <w:kern w:val="0"/>
          <w:sz w:val="28"/>
          <w:szCs w:val="28"/>
          <w:highlight w:val="none"/>
          <w:u w:val="single"/>
          <w:lang w:bidi="ar"/>
        </w:rPr>
        <w:t>（企业名称）</w:t>
      </w:r>
      <w:r>
        <w:rPr>
          <w:rFonts w:hint="eastAsia" w:ascii="仿宋" w:hAnsi="仿宋" w:cs="仿宋"/>
          <w:color w:val="auto"/>
          <w:kern w:val="0"/>
          <w:sz w:val="28"/>
          <w:szCs w:val="28"/>
          <w:highlight w:val="none"/>
          <w:lang w:bidi="ar"/>
        </w:rPr>
        <w:t>，从业人员</w:t>
      </w:r>
      <w:r>
        <w:rPr>
          <w:rFonts w:hint="eastAsia" w:ascii="仿宋" w:hAnsi="仿宋" w:cs="仿宋"/>
          <w:color w:val="auto"/>
          <w:kern w:val="0"/>
          <w:sz w:val="28"/>
          <w:szCs w:val="28"/>
          <w:highlight w:val="none"/>
          <w:u w:val="single"/>
          <w:lang w:bidi="ar"/>
        </w:rPr>
        <w:t xml:space="preserve">    </w:t>
      </w:r>
      <w:r>
        <w:rPr>
          <w:rFonts w:hint="eastAsia" w:ascii="仿宋" w:hAnsi="仿宋" w:cs="仿宋"/>
          <w:color w:val="auto"/>
          <w:kern w:val="0"/>
          <w:sz w:val="28"/>
          <w:szCs w:val="28"/>
          <w:highlight w:val="none"/>
          <w:lang w:bidi="ar"/>
        </w:rPr>
        <w:t>人，营业收入为</w:t>
      </w:r>
      <w:r>
        <w:rPr>
          <w:rFonts w:hint="eastAsia" w:ascii="仿宋" w:hAnsi="仿宋" w:cs="仿宋"/>
          <w:color w:val="auto"/>
          <w:kern w:val="0"/>
          <w:sz w:val="28"/>
          <w:szCs w:val="28"/>
          <w:highlight w:val="none"/>
          <w:u w:val="single"/>
          <w:lang w:bidi="ar"/>
        </w:rPr>
        <w:t xml:space="preserve">    </w:t>
      </w:r>
      <w:r>
        <w:rPr>
          <w:rFonts w:hint="eastAsia" w:ascii="仿宋" w:hAnsi="仿宋" w:cs="仿宋"/>
          <w:color w:val="auto"/>
          <w:kern w:val="0"/>
          <w:sz w:val="28"/>
          <w:szCs w:val="28"/>
          <w:highlight w:val="none"/>
          <w:lang w:bidi="ar"/>
        </w:rPr>
        <w:t>万元，资产总额为</w:t>
      </w:r>
      <w:r>
        <w:rPr>
          <w:rFonts w:hint="eastAsia" w:ascii="仿宋" w:hAnsi="仿宋" w:cs="仿宋"/>
          <w:color w:val="auto"/>
          <w:kern w:val="0"/>
          <w:sz w:val="28"/>
          <w:szCs w:val="28"/>
          <w:highlight w:val="none"/>
          <w:u w:val="single"/>
          <w:lang w:bidi="ar"/>
        </w:rPr>
        <w:t xml:space="preserve">    </w:t>
      </w:r>
      <w:r>
        <w:rPr>
          <w:rFonts w:hint="eastAsia" w:ascii="仿宋" w:hAnsi="仿宋" w:cs="仿宋"/>
          <w:color w:val="auto"/>
          <w:kern w:val="0"/>
          <w:sz w:val="28"/>
          <w:szCs w:val="28"/>
          <w:highlight w:val="none"/>
          <w:lang w:bidi="ar"/>
        </w:rPr>
        <w:t>万元，属于</w:t>
      </w:r>
      <w:r>
        <w:rPr>
          <w:rFonts w:hint="eastAsia" w:ascii="仿宋" w:hAnsi="仿宋" w:cs="仿宋"/>
          <w:i/>
          <w:color w:val="auto"/>
          <w:kern w:val="0"/>
          <w:sz w:val="28"/>
          <w:szCs w:val="28"/>
          <w:highlight w:val="none"/>
          <w:u w:val="single"/>
          <w:lang w:bidi="ar"/>
        </w:rPr>
        <w:t>（中型企业、小型企业、微型企业）</w:t>
      </w:r>
      <w:r>
        <w:rPr>
          <w:rFonts w:hint="eastAsia" w:ascii="仿宋" w:hAnsi="仿宋" w:cs="仿宋"/>
          <w:color w:val="auto"/>
          <w:kern w:val="0"/>
          <w:sz w:val="28"/>
          <w:szCs w:val="28"/>
          <w:highlight w:val="none"/>
          <w:lang w:bidi="ar"/>
        </w:rPr>
        <w:t xml:space="preserve">； </w:t>
      </w:r>
    </w:p>
    <w:p>
      <w:pPr>
        <w:widowControl/>
        <w:ind w:firstLine="366" w:firstLineChars="131"/>
        <w:jc w:val="left"/>
        <w:rPr>
          <w:color w:val="auto"/>
          <w:sz w:val="20"/>
          <w:szCs w:val="22"/>
          <w:highlight w:val="none"/>
        </w:rPr>
      </w:pPr>
      <w:r>
        <w:rPr>
          <w:rFonts w:hint="eastAsia" w:ascii="仿宋" w:hAnsi="仿宋" w:cs="仿宋"/>
          <w:color w:val="auto"/>
          <w:kern w:val="0"/>
          <w:sz w:val="28"/>
          <w:szCs w:val="28"/>
          <w:highlight w:val="none"/>
          <w:lang w:bidi="ar"/>
        </w:rPr>
        <w:t>……</w:t>
      </w:r>
    </w:p>
    <w:p>
      <w:pPr>
        <w:widowControl/>
        <w:ind w:firstLine="366" w:firstLineChars="131"/>
        <w:jc w:val="left"/>
        <w:rPr>
          <w:color w:val="auto"/>
          <w:sz w:val="20"/>
          <w:szCs w:val="22"/>
          <w:highlight w:val="none"/>
        </w:rPr>
      </w:pPr>
      <w:r>
        <w:rPr>
          <w:rFonts w:hint="eastAsia" w:ascii="仿宋" w:hAnsi="仿宋" w:cs="仿宋"/>
          <w:color w:val="auto"/>
          <w:kern w:val="0"/>
          <w:sz w:val="28"/>
          <w:szCs w:val="28"/>
          <w:highlight w:val="none"/>
          <w:lang w:bidi="ar"/>
        </w:rPr>
        <w:t>以上企业，不属于大企业的分支机构，不存在控股股东为大企业的情形，也不存在与大企业的负责人为同一人的情形。</w:t>
      </w:r>
    </w:p>
    <w:p>
      <w:pPr>
        <w:widowControl/>
        <w:ind w:firstLine="366" w:firstLineChars="131"/>
        <w:jc w:val="left"/>
        <w:rPr>
          <w:color w:val="auto"/>
          <w:sz w:val="20"/>
          <w:szCs w:val="22"/>
          <w:highlight w:val="none"/>
        </w:rPr>
      </w:pPr>
      <w:r>
        <w:rPr>
          <w:rFonts w:hint="eastAsia" w:ascii="仿宋" w:hAnsi="仿宋" w:cs="仿宋"/>
          <w:color w:val="auto"/>
          <w:kern w:val="0"/>
          <w:sz w:val="28"/>
          <w:szCs w:val="28"/>
          <w:highlight w:val="none"/>
          <w:lang w:bidi="ar"/>
        </w:rPr>
        <w:t xml:space="preserve">本企业对上述声明内容的真实性负责。如有虚假，将依法承担相应责任。 </w:t>
      </w:r>
    </w:p>
    <w:p>
      <w:pPr>
        <w:widowControl/>
        <w:ind w:firstLine="3684" w:firstLineChars="1316"/>
        <w:jc w:val="left"/>
        <w:rPr>
          <w:color w:val="auto"/>
          <w:sz w:val="20"/>
          <w:szCs w:val="22"/>
          <w:highlight w:val="none"/>
        </w:rPr>
      </w:pPr>
      <w:r>
        <w:rPr>
          <w:rFonts w:hint="eastAsia" w:ascii="仿宋" w:hAnsi="仿宋" w:cs="仿宋"/>
          <w:color w:val="auto"/>
          <w:kern w:val="0"/>
          <w:sz w:val="28"/>
          <w:szCs w:val="28"/>
          <w:highlight w:val="none"/>
          <w:lang w:bidi="ar"/>
        </w:rPr>
        <w:t xml:space="preserve">企业名称（盖章）： </w:t>
      </w:r>
    </w:p>
    <w:p>
      <w:pPr>
        <w:widowControl/>
        <w:ind w:firstLine="3684" w:firstLineChars="1316"/>
        <w:jc w:val="left"/>
        <w:rPr>
          <w:color w:val="auto"/>
          <w:sz w:val="20"/>
          <w:szCs w:val="22"/>
          <w:highlight w:val="none"/>
        </w:rPr>
      </w:pPr>
      <w:r>
        <w:rPr>
          <w:rFonts w:hint="eastAsia" w:ascii="仿宋" w:hAnsi="仿宋" w:cs="仿宋"/>
          <w:color w:val="auto"/>
          <w:kern w:val="0"/>
          <w:sz w:val="28"/>
          <w:szCs w:val="28"/>
          <w:highlight w:val="none"/>
          <w:lang w:bidi="ar"/>
        </w:rPr>
        <w:t xml:space="preserve">日 期： </w:t>
      </w:r>
    </w:p>
    <w:p>
      <w:pPr>
        <w:widowControl/>
        <w:jc w:val="left"/>
        <w:rPr>
          <w:rFonts w:eastAsia="宋体"/>
          <w:color w:val="auto"/>
          <w:kern w:val="0"/>
          <w:sz w:val="15"/>
          <w:szCs w:val="15"/>
          <w:highlight w:val="none"/>
          <w:lang w:bidi="ar"/>
        </w:rPr>
      </w:pPr>
    </w:p>
    <w:p>
      <w:pPr>
        <w:widowControl/>
        <w:jc w:val="left"/>
        <w:rPr>
          <w:rFonts w:hint="eastAsia" w:eastAsia="宋体"/>
          <w:color w:val="auto"/>
          <w:kern w:val="0"/>
          <w:sz w:val="15"/>
          <w:szCs w:val="15"/>
          <w:highlight w:val="none"/>
          <w:u w:val="single"/>
          <w:lang w:bidi="ar"/>
        </w:rPr>
      </w:pPr>
      <w:r>
        <w:rPr>
          <w:rFonts w:hint="eastAsia" w:eastAsia="宋体"/>
          <w:color w:val="auto"/>
          <w:kern w:val="0"/>
          <w:sz w:val="15"/>
          <w:szCs w:val="15"/>
          <w:highlight w:val="none"/>
          <w:u w:val="single"/>
          <w:lang w:bidi="ar"/>
        </w:rPr>
        <w:t xml:space="preserve">                           </w:t>
      </w:r>
    </w:p>
    <w:p>
      <w:pPr>
        <w:widowControl/>
        <w:jc w:val="left"/>
        <w:rPr>
          <w:color w:val="auto"/>
          <w:highlight w:val="none"/>
        </w:rPr>
      </w:pPr>
      <w:r>
        <w:rPr>
          <w:rFonts w:eastAsia="宋体"/>
          <w:color w:val="auto"/>
          <w:kern w:val="0"/>
          <w:sz w:val="15"/>
          <w:szCs w:val="15"/>
          <w:highlight w:val="none"/>
          <w:lang w:bidi="ar"/>
        </w:rPr>
        <w:t>1</w:t>
      </w:r>
      <w:r>
        <w:rPr>
          <w:rFonts w:hint="eastAsia" w:ascii="宋体" w:hAnsi="宋体" w:eastAsia="宋体" w:cs="宋体"/>
          <w:color w:val="auto"/>
          <w:kern w:val="0"/>
          <w:sz w:val="18"/>
          <w:szCs w:val="18"/>
          <w:highlight w:val="none"/>
          <w:lang w:bidi="ar"/>
        </w:rPr>
        <w:t>从业人员、营业收入、资产总额填报上一年度数据，无上一年度数据的新成立企业可不填报。</w:t>
      </w:r>
    </w:p>
    <w:p>
      <w:pPr>
        <w:pStyle w:val="3"/>
        <w:adjustRightInd w:val="0"/>
        <w:snapToGrid w:val="0"/>
        <w:spacing w:before="0" w:after="0" w:line="240" w:lineRule="auto"/>
        <w:jc w:val="left"/>
        <w:rPr>
          <w:rFonts w:hint="eastAsia" w:ascii="仿宋" w:hAnsi="仿宋" w:cs="仿宋"/>
          <w:color w:val="auto"/>
          <w:szCs w:val="28"/>
          <w:highlight w:val="none"/>
        </w:rPr>
      </w:pPr>
      <w:r>
        <w:rPr>
          <w:rFonts w:hint="eastAsia" w:ascii="仿宋" w:hAnsi="仿宋" w:cs="仿宋"/>
          <w:color w:val="auto"/>
          <w:szCs w:val="28"/>
          <w:highlight w:val="none"/>
        </w:rPr>
        <w:br w:type="page"/>
      </w:r>
      <w:r>
        <w:rPr>
          <w:rFonts w:hint="eastAsia" w:ascii="仿宋" w:hAnsi="仿宋" w:cs="仿宋"/>
          <w:color w:val="auto"/>
          <w:szCs w:val="28"/>
          <w:highlight w:val="none"/>
        </w:rPr>
        <w:t>格式18</w:t>
      </w:r>
    </w:p>
    <w:p>
      <w:pPr>
        <w:adjustRightInd w:val="0"/>
        <w:snapToGrid w:val="0"/>
        <w:spacing w:before="319" w:beforeLines="100" w:after="319" w:afterLines="100" w:line="360" w:lineRule="auto"/>
        <w:ind w:right="105" w:rightChars="50"/>
        <w:jc w:val="center"/>
        <w:rPr>
          <w:rFonts w:hint="eastAsia" w:ascii="仿宋" w:hAnsi="仿宋" w:cs="仿宋"/>
          <w:b/>
          <w:bCs/>
          <w:color w:val="auto"/>
          <w:sz w:val="32"/>
          <w:szCs w:val="32"/>
          <w:highlight w:val="none"/>
        </w:rPr>
      </w:pPr>
      <w:bookmarkStart w:id="131" w:name="_Toc29880_WPSOffice_Level2"/>
      <w:bookmarkStart w:id="132" w:name="_Toc13566_WPSOffice_Level2"/>
      <w:r>
        <w:rPr>
          <w:rFonts w:hint="eastAsia" w:ascii="仿宋" w:hAnsi="仿宋" w:cs="仿宋"/>
          <w:b/>
          <w:bCs/>
          <w:color w:val="auto"/>
          <w:sz w:val="32"/>
          <w:szCs w:val="32"/>
          <w:highlight w:val="none"/>
        </w:rPr>
        <w:t>残疾人福利性单位声明函</w:t>
      </w:r>
      <w:bookmarkEnd w:id="131"/>
      <w:bookmarkEnd w:id="132"/>
    </w:p>
    <w:p>
      <w:pPr>
        <w:adjustRightInd w:val="0"/>
        <w:snapToGrid w:val="0"/>
        <w:spacing w:line="360" w:lineRule="auto"/>
        <w:ind w:right="105" w:rightChars="50" w:firstLine="476" w:firstLineChars="227"/>
        <w:jc w:val="left"/>
        <w:rPr>
          <w:rFonts w:hint="eastAsia" w:ascii="仿宋" w:hAnsi="仿宋" w:cs="仿宋"/>
          <w:color w:val="auto"/>
          <w:szCs w:val="21"/>
          <w:highlight w:val="none"/>
        </w:rPr>
      </w:pPr>
      <w:r>
        <w:rPr>
          <w:rFonts w:hint="eastAsia" w:ascii="仿宋" w:hAnsi="仿宋" w:cs="仿宋"/>
          <w:color w:val="auto"/>
          <w:szCs w:val="21"/>
          <w:highlight w:val="none"/>
        </w:rPr>
        <w:t>本单位郑重声明，根据《财政部 民政部 中国残疾人联合会关于促进残疾人就业政府采购政策的通知》（财库〔2017〕141 号）的规定，本单位为符合条件的残疾人福利性单位，且本单位参加</w:t>
      </w:r>
      <w:r>
        <w:rPr>
          <w:rFonts w:hint="eastAsia" w:ascii="仿宋" w:hAnsi="仿宋" w:cs="仿宋"/>
          <w:color w:val="auto"/>
          <w:szCs w:val="21"/>
          <w:highlight w:val="none"/>
          <w:u w:val="single"/>
        </w:rPr>
        <w:t xml:space="preserve">       </w:t>
      </w:r>
      <w:r>
        <w:rPr>
          <w:rFonts w:hint="eastAsia" w:ascii="仿宋" w:hAnsi="仿宋" w:cs="仿宋"/>
          <w:color w:val="auto"/>
          <w:szCs w:val="21"/>
          <w:highlight w:val="none"/>
        </w:rPr>
        <w:t>单位的</w:t>
      </w:r>
      <w:r>
        <w:rPr>
          <w:rFonts w:hint="eastAsia" w:ascii="仿宋" w:hAnsi="仿宋" w:cs="仿宋"/>
          <w:color w:val="auto"/>
          <w:szCs w:val="21"/>
          <w:highlight w:val="none"/>
          <w:u w:val="single"/>
        </w:rPr>
        <w:t xml:space="preserve">     </w:t>
      </w:r>
      <w:r>
        <w:rPr>
          <w:rFonts w:hint="eastAsia" w:ascii="仿宋" w:hAnsi="仿宋" w:cs="仿宋"/>
          <w:color w:val="auto"/>
          <w:szCs w:val="21"/>
          <w:highlight w:val="none"/>
        </w:rPr>
        <w:t>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right="105" w:rightChars="50" w:firstLine="476" w:firstLineChars="227"/>
        <w:jc w:val="left"/>
        <w:rPr>
          <w:rFonts w:hint="eastAsia" w:ascii="仿宋" w:hAnsi="仿宋" w:cs="仿宋"/>
          <w:color w:val="auto"/>
          <w:szCs w:val="21"/>
          <w:highlight w:val="none"/>
        </w:rPr>
      </w:pPr>
      <w:r>
        <w:rPr>
          <w:rFonts w:hint="eastAsia" w:ascii="仿宋" w:hAnsi="仿宋" w:cs="仿宋"/>
          <w:color w:val="auto"/>
          <w:szCs w:val="21"/>
          <w:highlight w:val="none"/>
        </w:rPr>
        <w:t>本单位对上述声明的真实性负责。如有虚假，将依法承担相应责任。</w:t>
      </w:r>
    </w:p>
    <w:tbl>
      <w:tblPr>
        <w:tblStyle w:val="14"/>
        <w:tblW w:w="8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582"/>
        <w:gridCol w:w="1587"/>
        <w:gridCol w:w="1427"/>
        <w:gridCol w:w="1427"/>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953" w:type="dxa"/>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序号</w:t>
            </w:r>
          </w:p>
        </w:tc>
        <w:tc>
          <w:tcPr>
            <w:tcW w:w="1582" w:type="dxa"/>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品  名</w:t>
            </w:r>
          </w:p>
        </w:tc>
        <w:tc>
          <w:tcPr>
            <w:tcW w:w="1587" w:type="dxa"/>
            <w:noWrap w:val="0"/>
            <w:vAlign w:val="center"/>
          </w:tcPr>
          <w:p>
            <w:pPr>
              <w:widowControl/>
              <w:jc w:val="center"/>
              <w:rPr>
                <w:rFonts w:hint="eastAsia" w:ascii="仿宋" w:hAnsi="仿宋" w:cs="仿宋"/>
                <w:color w:val="auto"/>
                <w:szCs w:val="21"/>
                <w:highlight w:val="none"/>
              </w:rPr>
            </w:pPr>
            <w:r>
              <w:rPr>
                <w:rFonts w:hint="eastAsia" w:ascii="仿宋" w:hAnsi="仿宋" w:cs="仿宋"/>
                <w:color w:val="auto"/>
                <w:szCs w:val="21"/>
                <w:highlight w:val="none"/>
              </w:rPr>
              <w:t>数量</w:t>
            </w:r>
          </w:p>
        </w:tc>
        <w:tc>
          <w:tcPr>
            <w:tcW w:w="1427" w:type="dxa"/>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规格</w:t>
            </w:r>
          </w:p>
          <w:p>
            <w:pPr>
              <w:jc w:val="center"/>
              <w:rPr>
                <w:rFonts w:hint="eastAsia" w:ascii="仿宋" w:hAnsi="仿宋" w:cs="仿宋"/>
                <w:color w:val="auto"/>
                <w:szCs w:val="21"/>
                <w:highlight w:val="none"/>
              </w:rPr>
            </w:pPr>
            <w:r>
              <w:rPr>
                <w:rFonts w:hint="eastAsia" w:ascii="仿宋" w:hAnsi="仿宋" w:cs="仿宋"/>
                <w:color w:val="auto"/>
                <w:szCs w:val="21"/>
                <w:highlight w:val="none"/>
              </w:rPr>
              <w:t>型号</w:t>
            </w:r>
          </w:p>
        </w:tc>
        <w:tc>
          <w:tcPr>
            <w:tcW w:w="1427" w:type="dxa"/>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生产</w:t>
            </w:r>
          </w:p>
          <w:p>
            <w:pPr>
              <w:jc w:val="center"/>
              <w:rPr>
                <w:rFonts w:hint="eastAsia" w:ascii="仿宋" w:hAnsi="仿宋" w:cs="仿宋"/>
                <w:color w:val="auto"/>
                <w:szCs w:val="21"/>
                <w:highlight w:val="none"/>
              </w:rPr>
            </w:pPr>
            <w:r>
              <w:rPr>
                <w:rFonts w:hint="eastAsia" w:ascii="仿宋" w:hAnsi="仿宋" w:cs="仿宋"/>
                <w:color w:val="auto"/>
                <w:szCs w:val="21"/>
                <w:highlight w:val="none"/>
              </w:rPr>
              <w:t>厂家</w:t>
            </w:r>
          </w:p>
        </w:tc>
        <w:tc>
          <w:tcPr>
            <w:tcW w:w="1344" w:type="dxa"/>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1</w:t>
            </w:r>
          </w:p>
        </w:tc>
        <w:tc>
          <w:tcPr>
            <w:tcW w:w="1582" w:type="dxa"/>
            <w:noWrap w:val="0"/>
            <w:vAlign w:val="center"/>
          </w:tcPr>
          <w:p>
            <w:pPr>
              <w:jc w:val="center"/>
              <w:rPr>
                <w:rFonts w:hint="eastAsia" w:ascii="仿宋" w:hAnsi="仿宋" w:cs="仿宋"/>
                <w:color w:val="auto"/>
                <w:szCs w:val="21"/>
                <w:highlight w:val="none"/>
              </w:rPr>
            </w:pPr>
          </w:p>
        </w:tc>
        <w:tc>
          <w:tcPr>
            <w:tcW w:w="1587" w:type="dxa"/>
            <w:noWrap w:val="0"/>
            <w:vAlign w:val="center"/>
          </w:tcPr>
          <w:p>
            <w:pPr>
              <w:jc w:val="center"/>
              <w:rPr>
                <w:rFonts w:hint="eastAsia" w:ascii="仿宋" w:hAnsi="仿宋" w:cs="仿宋"/>
                <w:color w:val="auto"/>
                <w:szCs w:val="21"/>
                <w:highlight w:val="none"/>
              </w:rPr>
            </w:pPr>
          </w:p>
        </w:tc>
        <w:tc>
          <w:tcPr>
            <w:tcW w:w="1427" w:type="dxa"/>
            <w:noWrap w:val="0"/>
            <w:vAlign w:val="center"/>
          </w:tcPr>
          <w:p>
            <w:pPr>
              <w:jc w:val="center"/>
              <w:rPr>
                <w:rFonts w:hint="eastAsia" w:ascii="仿宋" w:hAnsi="仿宋" w:cs="仿宋"/>
                <w:color w:val="auto"/>
                <w:szCs w:val="21"/>
                <w:highlight w:val="none"/>
              </w:rPr>
            </w:pPr>
          </w:p>
        </w:tc>
        <w:tc>
          <w:tcPr>
            <w:tcW w:w="1427" w:type="dxa"/>
            <w:noWrap w:val="0"/>
            <w:vAlign w:val="center"/>
          </w:tcPr>
          <w:p>
            <w:pPr>
              <w:jc w:val="center"/>
              <w:rPr>
                <w:rFonts w:hint="eastAsia" w:ascii="仿宋" w:hAnsi="仿宋" w:cs="仿宋"/>
                <w:color w:val="auto"/>
                <w:szCs w:val="21"/>
                <w:highlight w:val="none"/>
              </w:rPr>
            </w:pPr>
          </w:p>
        </w:tc>
        <w:tc>
          <w:tcPr>
            <w:tcW w:w="1344" w:type="dxa"/>
            <w:noWrap w:val="0"/>
            <w:vAlign w:val="center"/>
          </w:tcPr>
          <w:p>
            <w:pPr>
              <w:spacing w:line="360" w:lineRule="auto"/>
              <w:rPr>
                <w:rFonts w:hint="eastAsia" w:ascii="仿宋" w:hAnsi="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2</w:t>
            </w:r>
          </w:p>
        </w:tc>
        <w:tc>
          <w:tcPr>
            <w:tcW w:w="1582" w:type="dxa"/>
            <w:noWrap w:val="0"/>
            <w:vAlign w:val="center"/>
          </w:tcPr>
          <w:p>
            <w:pPr>
              <w:jc w:val="center"/>
              <w:rPr>
                <w:rFonts w:hint="eastAsia" w:ascii="仿宋" w:hAnsi="仿宋" w:cs="仿宋"/>
                <w:color w:val="auto"/>
                <w:szCs w:val="21"/>
                <w:highlight w:val="none"/>
              </w:rPr>
            </w:pPr>
          </w:p>
        </w:tc>
        <w:tc>
          <w:tcPr>
            <w:tcW w:w="1587" w:type="dxa"/>
            <w:noWrap w:val="0"/>
            <w:vAlign w:val="center"/>
          </w:tcPr>
          <w:p>
            <w:pPr>
              <w:jc w:val="center"/>
              <w:rPr>
                <w:rFonts w:hint="eastAsia" w:ascii="仿宋" w:hAnsi="仿宋" w:cs="仿宋"/>
                <w:color w:val="auto"/>
                <w:szCs w:val="21"/>
                <w:highlight w:val="none"/>
              </w:rPr>
            </w:pPr>
          </w:p>
        </w:tc>
        <w:tc>
          <w:tcPr>
            <w:tcW w:w="1427" w:type="dxa"/>
            <w:noWrap w:val="0"/>
            <w:vAlign w:val="center"/>
          </w:tcPr>
          <w:p>
            <w:pPr>
              <w:jc w:val="center"/>
              <w:rPr>
                <w:rFonts w:hint="eastAsia" w:ascii="仿宋" w:hAnsi="仿宋" w:cs="仿宋"/>
                <w:color w:val="auto"/>
                <w:szCs w:val="21"/>
                <w:highlight w:val="none"/>
              </w:rPr>
            </w:pPr>
          </w:p>
        </w:tc>
        <w:tc>
          <w:tcPr>
            <w:tcW w:w="1427" w:type="dxa"/>
            <w:noWrap w:val="0"/>
            <w:vAlign w:val="center"/>
          </w:tcPr>
          <w:p>
            <w:pPr>
              <w:jc w:val="center"/>
              <w:rPr>
                <w:rFonts w:hint="eastAsia" w:ascii="仿宋" w:hAnsi="仿宋" w:cs="仿宋"/>
                <w:color w:val="auto"/>
                <w:szCs w:val="21"/>
                <w:highlight w:val="none"/>
              </w:rPr>
            </w:pPr>
          </w:p>
        </w:tc>
        <w:tc>
          <w:tcPr>
            <w:tcW w:w="1344" w:type="dxa"/>
            <w:noWrap w:val="0"/>
            <w:vAlign w:val="center"/>
          </w:tcPr>
          <w:p>
            <w:pPr>
              <w:spacing w:line="360" w:lineRule="auto"/>
              <w:rPr>
                <w:rFonts w:hint="eastAsia" w:ascii="仿宋" w:hAnsi="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3</w:t>
            </w:r>
          </w:p>
        </w:tc>
        <w:tc>
          <w:tcPr>
            <w:tcW w:w="1582" w:type="dxa"/>
            <w:noWrap w:val="0"/>
            <w:vAlign w:val="center"/>
          </w:tcPr>
          <w:p>
            <w:pPr>
              <w:jc w:val="center"/>
              <w:rPr>
                <w:rFonts w:hint="eastAsia" w:ascii="仿宋" w:hAnsi="仿宋" w:cs="仿宋"/>
                <w:color w:val="auto"/>
                <w:szCs w:val="21"/>
                <w:highlight w:val="none"/>
              </w:rPr>
            </w:pPr>
          </w:p>
        </w:tc>
        <w:tc>
          <w:tcPr>
            <w:tcW w:w="1587" w:type="dxa"/>
            <w:noWrap w:val="0"/>
            <w:vAlign w:val="center"/>
          </w:tcPr>
          <w:p>
            <w:pPr>
              <w:jc w:val="center"/>
              <w:rPr>
                <w:rFonts w:hint="eastAsia" w:ascii="仿宋" w:hAnsi="仿宋" w:cs="仿宋"/>
                <w:color w:val="auto"/>
                <w:szCs w:val="21"/>
                <w:highlight w:val="none"/>
              </w:rPr>
            </w:pPr>
          </w:p>
        </w:tc>
        <w:tc>
          <w:tcPr>
            <w:tcW w:w="1427" w:type="dxa"/>
            <w:noWrap w:val="0"/>
            <w:vAlign w:val="center"/>
          </w:tcPr>
          <w:p>
            <w:pPr>
              <w:jc w:val="center"/>
              <w:rPr>
                <w:rFonts w:hint="eastAsia" w:ascii="仿宋" w:hAnsi="仿宋" w:cs="仿宋"/>
                <w:color w:val="auto"/>
                <w:szCs w:val="21"/>
                <w:highlight w:val="none"/>
              </w:rPr>
            </w:pPr>
          </w:p>
        </w:tc>
        <w:tc>
          <w:tcPr>
            <w:tcW w:w="1427" w:type="dxa"/>
            <w:noWrap w:val="0"/>
            <w:vAlign w:val="center"/>
          </w:tcPr>
          <w:p>
            <w:pPr>
              <w:jc w:val="center"/>
              <w:rPr>
                <w:rFonts w:hint="eastAsia" w:ascii="仿宋" w:hAnsi="仿宋" w:cs="仿宋"/>
                <w:color w:val="auto"/>
                <w:szCs w:val="21"/>
                <w:highlight w:val="none"/>
              </w:rPr>
            </w:pPr>
          </w:p>
        </w:tc>
        <w:tc>
          <w:tcPr>
            <w:tcW w:w="1344" w:type="dxa"/>
            <w:noWrap w:val="0"/>
            <w:vAlign w:val="center"/>
          </w:tcPr>
          <w:p>
            <w:pPr>
              <w:spacing w:line="360" w:lineRule="auto"/>
              <w:rPr>
                <w:rFonts w:hint="eastAsia" w:ascii="仿宋" w:hAnsi="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w:t>
            </w:r>
          </w:p>
        </w:tc>
        <w:tc>
          <w:tcPr>
            <w:tcW w:w="1582" w:type="dxa"/>
            <w:noWrap w:val="0"/>
            <w:vAlign w:val="center"/>
          </w:tcPr>
          <w:p>
            <w:pPr>
              <w:jc w:val="center"/>
              <w:rPr>
                <w:rFonts w:hint="eastAsia" w:ascii="仿宋" w:hAnsi="仿宋" w:cs="仿宋"/>
                <w:color w:val="auto"/>
                <w:szCs w:val="21"/>
                <w:highlight w:val="none"/>
              </w:rPr>
            </w:pPr>
          </w:p>
        </w:tc>
        <w:tc>
          <w:tcPr>
            <w:tcW w:w="1587" w:type="dxa"/>
            <w:noWrap w:val="0"/>
            <w:vAlign w:val="center"/>
          </w:tcPr>
          <w:p>
            <w:pPr>
              <w:jc w:val="center"/>
              <w:rPr>
                <w:rFonts w:hint="eastAsia" w:ascii="仿宋" w:hAnsi="仿宋" w:cs="仿宋"/>
                <w:color w:val="auto"/>
                <w:szCs w:val="21"/>
                <w:highlight w:val="none"/>
              </w:rPr>
            </w:pPr>
          </w:p>
        </w:tc>
        <w:tc>
          <w:tcPr>
            <w:tcW w:w="1427" w:type="dxa"/>
            <w:noWrap w:val="0"/>
            <w:vAlign w:val="center"/>
          </w:tcPr>
          <w:p>
            <w:pPr>
              <w:jc w:val="center"/>
              <w:rPr>
                <w:rFonts w:hint="eastAsia" w:ascii="仿宋" w:hAnsi="仿宋" w:cs="仿宋"/>
                <w:color w:val="auto"/>
                <w:szCs w:val="21"/>
                <w:highlight w:val="none"/>
              </w:rPr>
            </w:pPr>
          </w:p>
        </w:tc>
        <w:tc>
          <w:tcPr>
            <w:tcW w:w="1427" w:type="dxa"/>
            <w:noWrap w:val="0"/>
            <w:vAlign w:val="center"/>
          </w:tcPr>
          <w:p>
            <w:pPr>
              <w:jc w:val="center"/>
              <w:rPr>
                <w:rFonts w:hint="eastAsia" w:ascii="仿宋" w:hAnsi="仿宋" w:cs="仿宋"/>
                <w:color w:val="auto"/>
                <w:szCs w:val="21"/>
                <w:highlight w:val="none"/>
              </w:rPr>
            </w:pPr>
          </w:p>
        </w:tc>
        <w:tc>
          <w:tcPr>
            <w:tcW w:w="1344" w:type="dxa"/>
            <w:noWrap w:val="0"/>
            <w:vAlign w:val="center"/>
          </w:tcPr>
          <w:p>
            <w:pPr>
              <w:spacing w:line="360" w:lineRule="auto"/>
              <w:rPr>
                <w:rFonts w:hint="eastAsia" w:ascii="仿宋" w:hAnsi="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8320" w:type="dxa"/>
            <w:gridSpan w:val="6"/>
            <w:noWrap w:val="0"/>
            <w:vAlign w:val="center"/>
          </w:tcPr>
          <w:p>
            <w:pPr>
              <w:ind w:firstLine="420" w:firstLineChars="200"/>
              <w:jc w:val="left"/>
              <w:rPr>
                <w:rFonts w:hint="eastAsia" w:ascii="仿宋" w:hAnsi="仿宋" w:cs="仿宋"/>
                <w:color w:val="auto"/>
                <w:szCs w:val="21"/>
                <w:highlight w:val="none"/>
              </w:rPr>
            </w:pPr>
            <w:r>
              <w:rPr>
                <w:rFonts w:hint="eastAsia" w:ascii="仿宋" w:hAnsi="仿宋" w:cs="仿宋"/>
                <w:b/>
                <w:color w:val="auto"/>
                <w:szCs w:val="21"/>
                <w:highlight w:val="none"/>
              </w:rPr>
              <w:t xml:space="preserve"> </w:t>
            </w:r>
            <w:r>
              <w:rPr>
                <w:rFonts w:hint="eastAsia" w:ascii="仿宋" w:hAnsi="仿宋" w:cs="仿宋"/>
                <w:b/>
                <w:color w:val="auto"/>
                <w:szCs w:val="21"/>
                <w:highlight w:val="none"/>
                <w:lang w:val="zh-CN"/>
              </w:rPr>
              <w:t>投标文件中所提供投标的以上伴随产品为我单位生产的产品，</w:t>
            </w:r>
            <w:r>
              <w:rPr>
                <w:rFonts w:hint="eastAsia" w:ascii="仿宋" w:hAnsi="仿宋" w:cs="仿宋"/>
                <w:b/>
                <w:color w:val="auto"/>
                <w:szCs w:val="21"/>
                <w:highlight w:val="none"/>
              </w:rPr>
              <w:t>如有虚假</w:t>
            </w:r>
            <w:r>
              <w:rPr>
                <w:rFonts w:hint="eastAsia" w:ascii="仿宋" w:hAnsi="仿宋" w:cs="仿宋"/>
                <w:b/>
                <w:color w:val="auto"/>
                <w:szCs w:val="21"/>
                <w:highlight w:val="none"/>
                <w:lang w:val="zh-CN"/>
              </w:rPr>
              <w:t>，我单位承担由此产生的一切后果</w:t>
            </w:r>
            <w:r>
              <w:rPr>
                <w:rFonts w:hint="eastAsia" w:ascii="仿宋" w:hAnsi="仿宋" w:cs="仿宋"/>
                <w:color w:val="auto"/>
                <w:szCs w:val="21"/>
                <w:highlight w:val="none"/>
                <w:lang w:val="zh-CN"/>
              </w:rPr>
              <w:t>。</w:t>
            </w:r>
          </w:p>
        </w:tc>
      </w:tr>
    </w:tbl>
    <w:p>
      <w:pPr>
        <w:adjustRightInd w:val="0"/>
        <w:snapToGrid w:val="0"/>
        <w:spacing w:line="360" w:lineRule="auto"/>
        <w:ind w:right="105" w:rightChars="50" w:firstLine="476" w:firstLineChars="227"/>
        <w:jc w:val="left"/>
        <w:rPr>
          <w:rFonts w:hint="eastAsia" w:ascii="仿宋" w:hAnsi="仿宋" w:cs="仿宋"/>
          <w:color w:val="auto"/>
          <w:szCs w:val="21"/>
          <w:highlight w:val="none"/>
        </w:rPr>
      </w:pPr>
    </w:p>
    <w:p>
      <w:pPr>
        <w:adjustRightInd w:val="0"/>
        <w:snapToGrid w:val="0"/>
        <w:spacing w:line="360" w:lineRule="auto"/>
        <w:ind w:right="105" w:rightChars="50" w:firstLine="476" w:firstLineChars="227"/>
        <w:jc w:val="left"/>
        <w:rPr>
          <w:rFonts w:hint="eastAsia" w:ascii="仿宋" w:hAnsi="仿宋" w:cs="仿宋"/>
          <w:color w:val="auto"/>
          <w:szCs w:val="21"/>
          <w:highlight w:val="none"/>
        </w:rPr>
      </w:pPr>
      <w:r>
        <w:rPr>
          <w:rFonts w:hint="eastAsia" w:ascii="仿宋" w:hAnsi="仿宋" w:cs="仿宋"/>
          <w:color w:val="auto"/>
          <w:szCs w:val="21"/>
          <w:highlight w:val="none"/>
        </w:rPr>
        <w:t>注：1、供应商为非残疾人福利性单位的，无需填写此声明函。</w:t>
      </w:r>
    </w:p>
    <w:p>
      <w:pPr>
        <w:adjustRightInd w:val="0"/>
        <w:snapToGrid w:val="0"/>
        <w:spacing w:line="360" w:lineRule="auto"/>
        <w:ind w:right="105" w:rightChars="50" w:firstLine="476" w:firstLineChars="227"/>
        <w:jc w:val="left"/>
        <w:rPr>
          <w:rFonts w:hint="eastAsia" w:ascii="仿宋" w:hAnsi="仿宋" w:cs="仿宋"/>
          <w:color w:val="auto"/>
          <w:szCs w:val="21"/>
          <w:highlight w:val="none"/>
        </w:rPr>
      </w:pPr>
      <w:r>
        <w:rPr>
          <w:rFonts w:hint="eastAsia" w:ascii="仿宋" w:hAnsi="仿宋" w:cs="仿宋"/>
          <w:color w:val="auto"/>
          <w:szCs w:val="21"/>
          <w:highlight w:val="none"/>
        </w:rPr>
        <w:t xml:space="preserve">    2、仅为本项目提供服务，未提供服务所伴随产品的，此表格可不填写。</w:t>
      </w:r>
    </w:p>
    <w:p>
      <w:pPr>
        <w:adjustRightInd w:val="0"/>
        <w:snapToGrid w:val="0"/>
        <w:spacing w:line="360" w:lineRule="auto"/>
        <w:ind w:right="105" w:rightChars="50" w:firstLine="476" w:firstLineChars="227"/>
        <w:jc w:val="left"/>
        <w:rPr>
          <w:rFonts w:hint="eastAsia" w:ascii="仿宋" w:hAnsi="仿宋" w:cs="仿宋"/>
          <w:color w:val="auto"/>
          <w:szCs w:val="21"/>
          <w:highlight w:val="none"/>
        </w:rPr>
      </w:pPr>
      <w:r>
        <w:rPr>
          <w:rFonts w:hint="eastAsia" w:ascii="仿宋" w:hAnsi="仿宋" w:cs="仿宋"/>
          <w:color w:val="auto"/>
          <w:szCs w:val="21"/>
          <w:highlight w:val="none"/>
        </w:rPr>
        <w:t xml:space="preserve">    3、如为本项目提供本单位伴随产品的，请填写此表格。</w:t>
      </w:r>
    </w:p>
    <w:p>
      <w:pPr>
        <w:adjustRightInd w:val="0"/>
        <w:snapToGrid w:val="0"/>
        <w:spacing w:line="360" w:lineRule="auto"/>
        <w:ind w:right="105" w:rightChars="50" w:firstLine="476" w:firstLineChars="227"/>
        <w:jc w:val="left"/>
        <w:rPr>
          <w:rFonts w:hint="eastAsia" w:ascii="仿宋" w:hAnsi="仿宋" w:cs="仿宋"/>
          <w:color w:val="auto"/>
          <w:szCs w:val="21"/>
          <w:highlight w:val="none"/>
        </w:rPr>
      </w:pPr>
      <w:r>
        <w:rPr>
          <w:rFonts w:hint="eastAsia" w:ascii="仿宋" w:hAnsi="仿宋" w:cs="仿宋"/>
          <w:color w:val="auto"/>
          <w:szCs w:val="21"/>
          <w:highlight w:val="none"/>
        </w:rPr>
        <w:t xml:space="preserve">    4、如为本项目提供的伴随产品是其他单位生产的，无需填写此表格，但需生产单位按此格式出具此声明。</w:t>
      </w:r>
    </w:p>
    <w:p>
      <w:pPr>
        <w:adjustRightInd w:val="0"/>
        <w:snapToGrid w:val="0"/>
        <w:spacing w:line="360" w:lineRule="auto"/>
        <w:ind w:right="105" w:rightChars="50"/>
        <w:jc w:val="left"/>
        <w:rPr>
          <w:rFonts w:hint="eastAsia" w:ascii="仿宋" w:hAnsi="仿宋" w:cs="仿宋"/>
          <w:color w:val="auto"/>
          <w:szCs w:val="21"/>
          <w:highlight w:val="none"/>
        </w:rPr>
      </w:pPr>
    </w:p>
    <w:p>
      <w:pPr>
        <w:adjustRightInd w:val="0"/>
        <w:snapToGrid w:val="0"/>
        <w:spacing w:line="360" w:lineRule="auto"/>
        <w:ind w:right="105" w:rightChars="50"/>
        <w:jc w:val="left"/>
        <w:rPr>
          <w:rFonts w:hint="eastAsia" w:ascii="仿宋" w:hAnsi="仿宋" w:cs="仿宋"/>
          <w:color w:val="auto"/>
          <w:szCs w:val="21"/>
          <w:highlight w:val="none"/>
        </w:rPr>
      </w:pPr>
    </w:p>
    <w:p>
      <w:pPr>
        <w:adjustRightInd w:val="0"/>
        <w:snapToGrid w:val="0"/>
        <w:spacing w:line="360" w:lineRule="auto"/>
        <w:ind w:right="105" w:rightChars="50"/>
        <w:jc w:val="left"/>
        <w:rPr>
          <w:rFonts w:hint="eastAsia" w:ascii="仿宋" w:hAnsi="仿宋" w:cs="仿宋"/>
          <w:color w:val="auto"/>
          <w:szCs w:val="21"/>
          <w:highlight w:val="none"/>
        </w:rPr>
      </w:pPr>
    </w:p>
    <w:p>
      <w:pPr>
        <w:adjustRightInd w:val="0"/>
        <w:snapToGrid w:val="0"/>
        <w:spacing w:line="480" w:lineRule="auto"/>
        <w:ind w:right="105" w:rightChars="50"/>
        <w:jc w:val="left"/>
        <w:rPr>
          <w:rFonts w:hint="eastAsia" w:ascii="仿宋" w:hAnsi="仿宋" w:cs="仿宋"/>
          <w:color w:val="auto"/>
          <w:szCs w:val="21"/>
          <w:highlight w:val="none"/>
        </w:rPr>
      </w:pPr>
      <w:r>
        <w:rPr>
          <w:rFonts w:hint="eastAsia" w:ascii="仿宋" w:hAnsi="仿宋" w:cs="仿宋"/>
          <w:color w:val="auto"/>
          <w:szCs w:val="21"/>
          <w:highlight w:val="none"/>
        </w:rPr>
        <w:t>投标人名称（加盖单位公章）：</w:t>
      </w:r>
      <w:r>
        <w:rPr>
          <w:rFonts w:hint="eastAsia" w:ascii="仿宋" w:hAnsi="仿宋" w:cs="仿宋"/>
          <w:color w:val="auto"/>
          <w:szCs w:val="21"/>
          <w:highlight w:val="none"/>
          <w:u w:val="single"/>
        </w:rPr>
        <w:t xml:space="preserve">              </w:t>
      </w:r>
    </w:p>
    <w:p>
      <w:pPr>
        <w:adjustRightInd w:val="0"/>
        <w:snapToGrid w:val="0"/>
        <w:spacing w:line="480" w:lineRule="auto"/>
        <w:ind w:right="105" w:rightChars="50"/>
        <w:jc w:val="left"/>
        <w:rPr>
          <w:rFonts w:hint="eastAsia" w:ascii="仿宋" w:hAnsi="仿宋" w:cs="仿宋"/>
          <w:b/>
          <w:color w:val="auto"/>
          <w:sz w:val="28"/>
          <w:szCs w:val="28"/>
          <w:highlight w:val="none"/>
        </w:rPr>
      </w:pPr>
      <w:r>
        <w:rPr>
          <w:rFonts w:hint="eastAsia" w:ascii="仿宋" w:hAnsi="仿宋" w:cs="仿宋"/>
          <w:color w:val="auto"/>
          <w:szCs w:val="21"/>
          <w:highlight w:val="none"/>
        </w:rPr>
        <w:t>日 期：</w:t>
      </w:r>
      <w:r>
        <w:rPr>
          <w:rFonts w:hint="eastAsia" w:ascii="仿宋" w:hAnsi="仿宋" w:cs="仿宋"/>
          <w:color w:val="auto"/>
          <w:szCs w:val="21"/>
          <w:highlight w:val="none"/>
          <w:u w:val="single"/>
        </w:rPr>
        <w:t xml:space="preserve">              </w:t>
      </w:r>
    </w:p>
    <w:p>
      <w:pPr>
        <w:spacing w:line="360" w:lineRule="auto"/>
        <w:outlineLvl w:val="1"/>
        <w:rPr>
          <w:rFonts w:ascii="仿宋" w:hAnsi="仿宋" w:cs="仿宋"/>
          <w:color w:val="auto"/>
          <w:szCs w:val="28"/>
          <w:highlight w:val="none"/>
        </w:rPr>
      </w:pPr>
      <w:r>
        <w:rPr>
          <w:rFonts w:hint="eastAsia" w:ascii="仿宋" w:hAnsi="仿宋" w:cs="仿宋"/>
          <w:color w:val="auto"/>
          <w:szCs w:val="21"/>
          <w:highlight w:val="none"/>
          <w:u w:val="single"/>
        </w:rPr>
        <w:br w:type="page"/>
      </w:r>
      <w:r>
        <w:rPr>
          <w:rFonts w:hint="eastAsia" w:ascii="仿宋" w:hAnsi="仿宋" w:cs="仿宋"/>
          <w:b/>
          <w:color w:val="auto"/>
          <w:sz w:val="28"/>
          <w:szCs w:val="28"/>
          <w:highlight w:val="none"/>
        </w:rPr>
        <w:t>格式19</w:t>
      </w:r>
    </w:p>
    <w:p>
      <w:pPr>
        <w:spacing w:line="360" w:lineRule="auto"/>
        <w:jc w:val="center"/>
        <w:rPr>
          <w:rFonts w:hint="eastAsia" w:ascii="仿宋" w:hAnsi="仿宋" w:cs="仿宋"/>
          <w:b/>
          <w:color w:val="auto"/>
          <w:sz w:val="32"/>
          <w:szCs w:val="32"/>
          <w:highlight w:val="none"/>
        </w:rPr>
      </w:pPr>
      <w:r>
        <w:rPr>
          <w:rFonts w:hint="eastAsia" w:ascii="仿宋" w:hAnsi="仿宋" w:cs="仿宋"/>
          <w:b/>
          <w:color w:val="auto"/>
          <w:sz w:val="32"/>
          <w:szCs w:val="32"/>
          <w:highlight w:val="none"/>
        </w:rPr>
        <w:t>电子文件与备份文件内容、格式一致性承诺函</w:t>
      </w:r>
    </w:p>
    <w:p>
      <w:pPr>
        <w:widowControl/>
        <w:jc w:val="left"/>
        <w:rPr>
          <w:rFonts w:hint="eastAsia" w:ascii="仿宋" w:hAnsi="仿宋" w:cs="仿宋"/>
          <w:color w:val="auto"/>
          <w:szCs w:val="21"/>
          <w:highlight w:val="none"/>
          <w:u w:val="single"/>
        </w:rPr>
      </w:pPr>
    </w:p>
    <w:p>
      <w:pPr>
        <w:widowControl/>
        <w:jc w:val="left"/>
        <w:rPr>
          <w:rFonts w:hint="eastAsia" w:ascii="仿宋" w:hAnsi="仿宋" w:cs="仿宋"/>
          <w:color w:val="auto"/>
          <w:szCs w:val="21"/>
          <w:highlight w:val="none"/>
          <w:u w:val="single"/>
        </w:rPr>
      </w:pPr>
      <w:r>
        <w:rPr>
          <w:rFonts w:hint="eastAsia" w:ascii="仿宋" w:hAnsi="仿宋" w:cs="仿宋"/>
          <w:color w:val="auto"/>
          <w:szCs w:val="21"/>
          <w:highlight w:val="none"/>
          <w:u w:val="single"/>
        </w:rPr>
        <w:t>（采购人或采购代理机构）：</w:t>
      </w:r>
    </w:p>
    <w:p>
      <w:pPr>
        <w:adjustRightInd w:val="0"/>
        <w:snapToGrid w:val="0"/>
        <w:spacing w:line="360" w:lineRule="auto"/>
        <w:ind w:firstLine="420" w:firstLineChars="200"/>
        <w:rPr>
          <w:rFonts w:hint="eastAsia" w:ascii="仿宋" w:hAnsi="仿宋" w:cs="仿宋"/>
          <w:color w:val="auto"/>
          <w:szCs w:val="21"/>
          <w:highlight w:val="none"/>
        </w:rPr>
      </w:pPr>
    </w:p>
    <w:p>
      <w:pPr>
        <w:adjustRightInd w:val="0"/>
        <w:snapToGrid w:val="0"/>
        <w:spacing w:line="360" w:lineRule="auto"/>
        <w:ind w:firstLine="420" w:firstLineChars="200"/>
        <w:rPr>
          <w:rFonts w:hint="eastAsia" w:ascii="仿宋" w:hAnsi="仿宋" w:cs="仿宋"/>
          <w:color w:val="auto"/>
          <w:szCs w:val="21"/>
          <w:highlight w:val="none"/>
        </w:rPr>
      </w:pPr>
      <w:r>
        <w:rPr>
          <w:rFonts w:hint="eastAsia" w:ascii="仿宋" w:hAnsi="仿宋" w:cs="仿宋"/>
          <w:color w:val="auto"/>
          <w:szCs w:val="21"/>
          <w:highlight w:val="none"/>
        </w:rPr>
        <w:t>我单位在辽宁政府采购网电子评审系统提交的电子文件与递交的备份文件内容、格式完全一致，特此承诺。</w:t>
      </w:r>
    </w:p>
    <w:p>
      <w:pPr>
        <w:adjustRightInd w:val="0"/>
        <w:snapToGrid w:val="0"/>
        <w:spacing w:line="360" w:lineRule="auto"/>
        <w:ind w:firstLine="420" w:firstLineChars="200"/>
        <w:rPr>
          <w:rFonts w:hint="eastAsia" w:ascii="仿宋" w:hAnsi="仿宋" w:cs="仿宋"/>
          <w:color w:val="auto"/>
          <w:szCs w:val="21"/>
          <w:highlight w:val="none"/>
        </w:rPr>
      </w:pPr>
      <w:r>
        <w:rPr>
          <w:rFonts w:hint="eastAsia" w:ascii="仿宋" w:hAnsi="仿宋" w:cs="仿宋"/>
          <w:color w:val="auto"/>
          <w:szCs w:val="21"/>
          <w:highlight w:val="none"/>
        </w:rPr>
        <w:t>因未递交备份文件而导致系统突发故障时无法正常评审的，或者递交的备份文件不符合要求影响评审的，由我单位自行承担相应责任。</w:t>
      </w:r>
    </w:p>
    <w:p>
      <w:pPr>
        <w:rPr>
          <w:rFonts w:hint="eastAsia" w:ascii="仿宋" w:hAnsi="仿宋" w:cs="仿宋"/>
          <w:color w:val="auto"/>
          <w:szCs w:val="21"/>
          <w:highlight w:val="none"/>
        </w:rPr>
      </w:pPr>
    </w:p>
    <w:p>
      <w:pPr>
        <w:rPr>
          <w:rFonts w:hint="eastAsia" w:ascii="仿宋" w:hAnsi="仿宋" w:cs="仿宋"/>
          <w:color w:val="auto"/>
          <w:szCs w:val="21"/>
          <w:highlight w:val="none"/>
        </w:rPr>
      </w:pPr>
    </w:p>
    <w:p>
      <w:pPr>
        <w:rPr>
          <w:rFonts w:hint="eastAsia" w:ascii="仿宋" w:hAnsi="仿宋" w:cs="仿宋"/>
          <w:color w:val="auto"/>
          <w:szCs w:val="21"/>
          <w:highlight w:val="none"/>
        </w:rPr>
      </w:pPr>
    </w:p>
    <w:p>
      <w:pPr>
        <w:rPr>
          <w:rFonts w:hint="eastAsia" w:ascii="仿宋" w:hAnsi="仿宋" w:cs="仿宋"/>
          <w:color w:val="auto"/>
          <w:szCs w:val="21"/>
          <w:highlight w:val="none"/>
        </w:rPr>
      </w:pPr>
    </w:p>
    <w:p>
      <w:pPr>
        <w:spacing w:line="480" w:lineRule="auto"/>
        <w:rPr>
          <w:rFonts w:hint="eastAsia" w:ascii="仿宋" w:hAnsi="仿宋" w:cs="仿宋"/>
          <w:color w:val="auto"/>
          <w:szCs w:val="21"/>
          <w:highlight w:val="none"/>
        </w:rPr>
      </w:pPr>
    </w:p>
    <w:p>
      <w:pPr>
        <w:spacing w:line="480" w:lineRule="auto"/>
        <w:rPr>
          <w:rFonts w:hint="eastAsia" w:ascii="仿宋" w:hAnsi="仿宋" w:cs="仿宋"/>
          <w:color w:val="auto"/>
          <w:szCs w:val="21"/>
          <w:highlight w:val="none"/>
        </w:rPr>
      </w:pPr>
    </w:p>
    <w:p>
      <w:pPr>
        <w:spacing w:line="480" w:lineRule="auto"/>
        <w:rPr>
          <w:rFonts w:hint="eastAsia" w:ascii="仿宋" w:hAnsi="仿宋" w:cs="仿宋"/>
          <w:color w:val="auto"/>
          <w:highlight w:val="none"/>
        </w:rPr>
      </w:pPr>
    </w:p>
    <w:p>
      <w:pPr>
        <w:spacing w:line="480" w:lineRule="auto"/>
        <w:rPr>
          <w:rFonts w:hint="eastAsia" w:ascii="仿宋" w:hAnsi="仿宋" w:cs="仿宋"/>
          <w:color w:val="auto"/>
          <w:highlight w:val="none"/>
        </w:rPr>
      </w:pPr>
    </w:p>
    <w:p>
      <w:pPr>
        <w:spacing w:line="480" w:lineRule="auto"/>
        <w:rPr>
          <w:rFonts w:hint="eastAsia" w:ascii="仿宋" w:hAnsi="仿宋" w:cs="仿宋"/>
          <w:color w:val="auto"/>
          <w:highlight w:val="none"/>
        </w:rPr>
      </w:pPr>
      <w:r>
        <w:rPr>
          <w:rFonts w:hint="eastAsia" w:ascii="仿宋" w:hAnsi="仿宋" w:cs="仿宋"/>
          <w:color w:val="auto"/>
          <w:highlight w:val="none"/>
        </w:rPr>
        <w:t xml:space="preserve">投标人名称（加盖单位公章）：           </w:t>
      </w:r>
    </w:p>
    <w:p>
      <w:pPr>
        <w:spacing w:line="480" w:lineRule="auto"/>
        <w:rPr>
          <w:rFonts w:hint="eastAsia" w:ascii="仿宋" w:hAnsi="仿宋" w:cs="仿宋"/>
          <w:color w:val="auto"/>
          <w:highlight w:val="none"/>
        </w:rPr>
      </w:pPr>
      <w:r>
        <w:rPr>
          <w:rFonts w:hint="eastAsia" w:ascii="仿宋" w:hAnsi="仿宋" w:cs="仿宋"/>
          <w:color w:val="auto"/>
          <w:highlight w:val="none"/>
        </w:rPr>
        <w:t xml:space="preserve">法定代表人（或非法人组织负责人）或其授权委托人(签字或盖章)：           </w:t>
      </w:r>
    </w:p>
    <w:p>
      <w:pPr>
        <w:spacing w:line="480" w:lineRule="auto"/>
        <w:rPr>
          <w:rFonts w:hint="eastAsia" w:ascii="仿宋" w:hAnsi="仿宋" w:eastAsia="仿宋" w:cs="仿宋"/>
          <w:b/>
          <w:color w:val="auto"/>
          <w:sz w:val="28"/>
          <w:szCs w:val="28"/>
          <w:highlight w:val="none"/>
        </w:rPr>
      </w:pPr>
      <w:r>
        <w:rPr>
          <w:rFonts w:hint="eastAsia" w:ascii="仿宋" w:hAnsi="仿宋" w:cs="仿宋"/>
          <w:color w:val="auto"/>
          <w:highlight w:val="none"/>
        </w:rPr>
        <w:t>日期：</w:t>
      </w:r>
      <w:r>
        <w:rPr>
          <w:rFonts w:hint="eastAsia" w:ascii="仿宋" w:hAnsi="仿宋" w:cs="仿宋"/>
          <w:color w:val="auto"/>
          <w:highlight w:val="none"/>
          <w:u w:val="single"/>
        </w:rPr>
        <w:t xml:space="preserve">              </w:t>
      </w:r>
      <w:r>
        <w:rPr>
          <w:rFonts w:hint="eastAsia" w:ascii="仿宋" w:hAnsi="仿宋" w:eastAsia="仿宋" w:cs="仿宋"/>
          <w:color w:val="auto"/>
          <w:szCs w:val="21"/>
          <w:highlight w:val="none"/>
          <w:u w:val="single"/>
        </w:rPr>
        <w:t xml:space="preserve"> </w:t>
      </w:r>
    </w:p>
    <w:p>
      <w:pPr>
        <w:adjustRightInd w:val="0"/>
        <w:snapToGrid w:val="0"/>
        <w:spacing w:line="360" w:lineRule="auto"/>
        <w:ind w:right="105" w:rightChars="50"/>
        <w:jc w:val="left"/>
        <w:rPr>
          <w:rFonts w:hint="eastAsia" w:ascii="仿宋" w:hAnsi="仿宋" w:eastAsia="仿宋" w:cs="仿宋"/>
          <w:color w:val="auto"/>
          <w:szCs w:val="21"/>
          <w:highlight w:val="none"/>
          <w:u w:val="single"/>
        </w:rPr>
      </w:pPr>
    </w:p>
    <w:p>
      <w:pPr>
        <w:widowControl/>
        <w:jc w:val="left"/>
        <w:rPr>
          <w:rFonts w:hint="eastAsia" w:ascii="仿宋" w:hAnsi="仿宋" w:eastAsia="仿宋" w:cs="仿宋"/>
          <w:color w:val="auto"/>
          <w:szCs w:val="21"/>
          <w:highlight w:val="none"/>
          <w:u w:val="single"/>
        </w:rPr>
      </w:pPr>
    </w:p>
    <w:p>
      <w:pPr>
        <w:adjustRightInd w:val="0"/>
        <w:snapToGrid w:val="0"/>
        <w:spacing w:line="360" w:lineRule="auto"/>
        <w:ind w:right="105" w:rightChars="50"/>
        <w:jc w:val="left"/>
        <w:rPr>
          <w:rFonts w:hint="eastAsia" w:ascii="仿宋" w:hAnsi="仿宋" w:eastAsia="仿宋" w:cs="仿宋"/>
          <w:color w:val="auto"/>
          <w:szCs w:val="21"/>
          <w:highlight w:val="none"/>
          <w:u w:val="single"/>
        </w:rPr>
      </w:pPr>
    </w:p>
    <w:p>
      <w:pPr>
        <w:widowControl/>
        <w:jc w:val="left"/>
        <w:rPr>
          <w:rFonts w:hint="eastAsia" w:ascii="仿宋" w:hAnsi="仿宋" w:eastAsia="仿宋" w:cs="仿宋"/>
          <w:b/>
          <w:color w:val="auto"/>
          <w:kern w:val="44"/>
          <w:sz w:val="44"/>
          <w:highlight w:val="none"/>
        </w:rPr>
      </w:pPr>
      <w:bookmarkStart w:id="133" w:name="_Toc4498_WPSOffice_Level1"/>
      <w:r>
        <w:rPr>
          <w:rFonts w:hint="eastAsia" w:ascii="仿宋" w:hAnsi="仿宋" w:eastAsia="仿宋" w:cs="仿宋"/>
          <w:color w:val="auto"/>
          <w:highlight w:val="none"/>
        </w:rPr>
        <w:br w:type="page"/>
      </w:r>
    </w:p>
    <w:p>
      <w:pPr>
        <w:pStyle w:val="2"/>
        <w:snapToGrid w:val="0"/>
        <w:spacing w:before="319" w:beforeLines="100" w:after="319" w:afterLines="100" w:line="360" w:lineRule="auto"/>
        <w:rPr>
          <w:rFonts w:hint="eastAsia" w:ascii="仿宋" w:hAnsi="仿宋" w:eastAsia="仿宋" w:cs="仿宋"/>
          <w:color w:val="auto"/>
          <w:highlight w:val="none"/>
        </w:rPr>
      </w:pPr>
      <w:bookmarkStart w:id="134" w:name="_Toc17590"/>
      <w:r>
        <w:rPr>
          <w:rFonts w:hint="eastAsia" w:ascii="仿宋" w:hAnsi="仿宋" w:eastAsia="仿宋" w:cs="仿宋"/>
          <w:color w:val="auto"/>
          <w:highlight w:val="none"/>
        </w:rPr>
        <w:t>第三章 货物需求</w:t>
      </w:r>
      <w:bookmarkEnd w:id="133"/>
      <w:bookmarkEnd w:id="134"/>
    </w:p>
    <w:p>
      <w:pPr>
        <w:jc w:val="center"/>
        <w:outlineLvl w:val="1"/>
        <w:rPr>
          <w:rFonts w:ascii="仿宋" w:hAnsi="仿宋" w:cs="仿宋"/>
          <w:b/>
          <w:bCs/>
          <w:color w:val="auto"/>
          <w:szCs w:val="21"/>
          <w:highlight w:val="none"/>
        </w:rPr>
      </w:pPr>
      <w:bookmarkStart w:id="135" w:name="_Toc1373"/>
      <w:r>
        <w:rPr>
          <w:rFonts w:hint="eastAsia" w:ascii="仿宋" w:hAnsi="仿宋" w:cs="仿宋"/>
          <w:b/>
          <w:bCs/>
          <w:color w:val="auto"/>
          <w:szCs w:val="21"/>
          <w:highlight w:val="none"/>
        </w:rPr>
        <w:t>001包货物需求</w:t>
      </w:r>
    </w:p>
    <w:p>
      <w:pPr>
        <w:rPr>
          <w:rFonts w:hint="eastAsia" w:ascii="仿宋" w:hAnsi="仿宋" w:cs="仿宋"/>
          <w:b/>
          <w:bCs/>
          <w:color w:val="auto"/>
          <w:szCs w:val="21"/>
          <w:highlight w:val="none"/>
        </w:rPr>
      </w:pPr>
      <w:r>
        <w:rPr>
          <w:rFonts w:hint="eastAsia" w:ascii="仿宋" w:hAnsi="仿宋" w:cs="仿宋"/>
          <w:b/>
          <w:color w:val="auto"/>
          <w:sz w:val="18"/>
          <w:szCs w:val="18"/>
          <w:highlight w:val="none"/>
        </w:rPr>
        <w:t>★</w:t>
      </w:r>
      <w:r>
        <w:rPr>
          <w:rFonts w:hint="eastAsia" w:ascii="仿宋" w:hAnsi="仿宋" w:cs="仿宋"/>
          <w:b/>
          <w:bCs/>
          <w:color w:val="auto"/>
          <w:szCs w:val="21"/>
          <w:highlight w:val="none"/>
        </w:rPr>
        <w:t>一、产品参数</w:t>
      </w:r>
      <w:bookmarkEnd w:id="135"/>
    </w:p>
    <w:p>
      <w:pPr>
        <w:ind w:firstLine="420" w:firstLineChars="200"/>
        <w:rPr>
          <w:rFonts w:hint="eastAsia" w:ascii="仿宋" w:hAnsi="仿宋" w:cs="仿宋"/>
          <w:color w:val="auto"/>
          <w:szCs w:val="21"/>
          <w:highlight w:val="none"/>
        </w:rPr>
      </w:pPr>
      <w:r>
        <w:rPr>
          <w:rFonts w:hint="eastAsia" w:ascii="仿宋" w:hAnsi="仿宋" w:cs="仿宋"/>
          <w:color w:val="auto"/>
          <w:szCs w:val="21"/>
          <w:highlight w:val="none"/>
        </w:rPr>
        <w:t>商品有机肥选用颗粒状商品有机肥，且符合中华人民共和国农业行业标准《有机肥料》（NY/T 525-2021）的规定，主要技术指标见表1和表2。施用标准为平均0.2t/亩。</w:t>
      </w:r>
    </w:p>
    <w:p>
      <w:pPr>
        <w:jc w:val="center"/>
        <w:rPr>
          <w:rFonts w:hint="eastAsia" w:ascii="仿宋" w:hAnsi="仿宋" w:cs="仿宋"/>
          <w:color w:val="auto"/>
          <w:szCs w:val="21"/>
          <w:highlight w:val="none"/>
        </w:rPr>
      </w:pPr>
      <w:r>
        <w:rPr>
          <w:rFonts w:hint="eastAsia" w:ascii="仿宋" w:hAnsi="仿宋" w:cs="仿宋"/>
          <w:color w:val="auto"/>
          <w:szCs w:val="21"/>
          <w:highlight w:val="none"/>
        </w:rPr>
        <w:t>表1有机肥料技术指标要求</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15"/>
        <w:gridCol w:w="2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5" w:type="dxa"/>
            <w:noWrap w:val="0"/>
            <w:vAlign w:val="top"/>
          </w:tcPr>
          <w:p>
            <w:pPr>
              <w:jc w:val="center"/>
              <w:rPr>
                <w:rFonts w:hint="eastAsia" w:ascii="仿宋" w:hAnsi="仿宋" w:cs="仿宋"/>
                <w:color w:val="auto"/>
                <w:szCs w:val="21"/>
                <w:highlight w:val="none"/>
              </w:rPr>
            </w:pPr>
            <w:r>
              <w:rPr>
                <w:rFonts w:hint="eastAsia" w:ascii="仿宋" w:hAnsi="仿宋" w:cs="仿宋"/>
                <w:color w:val="auto"/>
                <w:szCs w:val="21"/>
                <w:highlight w:val="none"/>
              </w:rPr>
              <w:t>项 目</w:t>
            </w:r>
          </w:p>
        </w:tc>
        <w:tc>
          <w:tcPr>
            <w:tcW w:w="2601" w:type="dxa"/>
            <w:noWrap w:val="0"/>
            <w:vAlign w:val="top"/>
          </w:tcPr>
          <w:p>
            <w:pPr>
              <w:jc w:val="center"/>
              <w:rPr>
                <w:rFonts w:hint="eastAsia" w:ascii="仿宋" w:hAnsi="仿宋" w:cs="仿宋"/>
                <w:color w:val="auto"/>
                <w:szCs w:val="21"/>
                <w:highlight w:val="none"/>
              </w:rPr>
            </w:pPr>
            <w:r>
              <w:rPr>
                <w:rFonts w:hint="eastAsia" w:ascii="仿宋" w:hAnsi="仿宋" w:cs="仿宋"/>
                <w:color w:val="auto"/>
                <w:szCs w:val="21"/>
                <w:highlight w:val="none"/>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5" w:type="dxa"/>
            <w:noWrap w:val="0"/>
            <w:vAlign w:val="top"/>
          </w:tcPr>
          <w:p>
            <w:pPr>
              <w:jc w:val="center"/>
              <w:rPr>
                <w:rFonts w:hint="eastAsia" w:ascii="仿宋" w:hAnsi="仿宋" w:cs="仿宋"/>
                <w:color w:val="auto"/>
                <w:szCs w:val="21"/>
                <w:highlight w:val="none"/>
              </w:rPr>
            </w:pPr>
            <w:r>
              <w:rPr>
                <w:rFonts w:hint="eastAsia" w:ascii="仿宋" w:hAnsi="仿宋" w:cs="仿宋"/>
                <w:color w:val="auto"/>
                <w:szCs w:val="21"/>
                <w:highlight w:val="none"/>
              </w:rPr>
              <w:t>有机质的质量分数(以烘干基计)，%</w:t>
            </w:r>
          </w:p>
        </w:tc>
        <w:tc>
          <w:tcPr>
            <w:tcW w:w="2601" w:type="dxa"/>
            <w:noWrap w:val="0"/>
            <w:vAlign w:val="top"/>
          </w:tcPr>
          <w:p>
            <w:pPr>
              <w:jc w:val="center"/>
              <w:rPr>
                <w:rFonts w:hint="eastAsia" w:ascii="仿宋" w:hAnsi="仿宋" w:cs="仿宋"/>
                <w:color w:val="auto"/>
                <w:szCs w:val="21"/>
                <w:highlight w:val="none"/>
              </w:rPr>
            </w:pPr>
            <w:r>
              <w:rPr>
                <w:rFonts w:hint="eastAsia" w:ascii="仿宋" w:hAnsi="仿宋" w:cs="仿宋"/>
                <w:color w:val="auto"/>
                <w:szCs w:val="21"/>
                <w:highlight w:val="none"/>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5" w:type="dxa"/>
            <w:noWrap w:val="0"/>
            <w:vAlign w:val="top"/>
          </w:tcPr>
          <w:p>
            <w:pPr>
              <w:jc w:val="center"/>
              <w:rPr>
                <w:rFonts w:hint="eastAsia" w:ascii="仿宋" w:hAnsi="仿宋" w:cs="仿宋"/>
                <w:color w:val="auto"/>
                <w:szCs w:val="21"/>
                <w:highlight w:val="none"/>
              </w:rPr>
            </w:pPr>
            <w:r>
              <w:rPr>
                <w:rFonts w:hint="eastAsia" w:ascii="仿宋" w:hAnsi="仿宋" w:cs="仿宋"/>
                <w:color w:val="auto"/>
                <w:szCs w:val="21"/>
                <w:highlight w:val="none"/>
              </w:rPr>
              <w:t>总养分(氮+五氧化二磷+氧化钾)的质量分数(以烘干基计)，%</w:t>
            </w:r>
          </w:p>
        </w:tc>
        <w:tc>
          <w:tcPr>
            <w:tcW w:w="2601" w:type="dxa"/>
            <w:noWrap w:val="0"/>
            <w:vAlign w:val="top"/>
          </w:tcPr>
          <w:p>
            <w:pPr>
              <w:jc w:val="center"/>
              <w:rPr>
                <w:rFonts w:hint="eastAsia" w:ascii="仿宋" w:hAnsi="仿宋" w:cs="仿宋"/>
                <w:color w:val="auto"/>
                <w:szCs w:val="21"/>
                <w:highlight w:val="none"/>
              </w:rPr>
            </w:pPr>
            <w:r>
              <w:rPr>
                <w:rFonts w:hint="eastAsia" w:ascii="仿宋" w:hAnsi="仿宋" w:cs="仿宋"/>
                <w:color w:val="auto"/>
                <w:szCs w:val="21"/>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5" w:type="dxa"/>
            <w:noWrap w:val="0"/>
            <w:vAlign w:val="top"/>
          </w:tcPr>
          <w:p>
            <w:pPr>
              <w:jc w:val="center"/>
              <w:rPr>
                <w:rFonts w:hint="eastAsia" w:ascii="仿宋" w:hAnsi="仿宋" w:cs="仿宋"/>
                <w:color w:val="auto"/>
                <w:szCs w:val="21"/>
                <w:highlight w:val="none"/>
              </w:rPr>
            </w:pPr>
            <w:r>
              <w:rPr>
                <w:rFonts w:hint="eastAsia" w:ascii="仿宋" w:hAnsi="仿宋" w:cs="仿宋"/>
                <w:color w:val="auto"/>
                <w:szCs w:val="21"/>
                <w:highlight w:val="none"/>
              </w:rPr>
              <w:t>水分(鲜样)的质量分数，%</w:t>
            </w:r>
          </w:p>
        </w:tc>
        <w:tc>
          <w:tcPr>
            <w:tcW w:w="2601" w:type="dxa"/>
            <w:noWrap w:val="0"/>
            <w:vAlign w:val="top"/>
          </w:tcPr>
          <w:p>
            <w:pPr>
              <w:jc w:val="center"/>
              <w:rPr>
                <w:rFonts w:hint="eastAsia" w:ascii="仿宋" w:hAnsi="仿宋" w:cs="仿宋"/>
                <w:color w:val="auto"/>
                <w:szCs w:val="21"/>
                <w:highlight w:val="none"/>
              </w:rPr>
            </w:pPr>
            <w:r>
              <w:rPr>
                <w:rFonts w:hint="eastAsia" w:ascii="仿宋" w:hAnsi="仿宋" w:cs="仿宋"/>
                <w:color w:val="auto"/>
                <w:szCs w:val="21"/>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5" w:type="dxa"/>
            <w:noWrap w:val="0"/>
            <w:vAlign w:val="top"/>
          </w:tcPr>
          <w:p>
            <w:pPr>
              <w:jc w:val="center"/>
              <w:rPr>
                <w:rFonts w:hint="eastAsia" w:ascii="仿宋" w:hAnsi="仿宋" w:cs="仿宋"/>
                <w:color w:val="auto"/>
                <w:szCs w:val="21"/>
                <w:highlight w:val="none"/>
              </w:rPr>
            </w:pPr>
            <w:r>
              <w:rPr>
                <w:rFonts w:hint="eastAsia" w:ascii="仿宋" w:hAnsi="仿宋" w:cs="仿宋"/>
                <w:color w:val="auto"/>
                <w:szCs w:val="21"/>
                <w:highlight w:val="none"/>
              </w:rPr>
              <w:t>酸碱度(pH)</w:t>
            </w:r>
          </w:p>
        </w:tc>
        <w:tc>
          <w:tcPr>
            <w:tcW w:w="2601" w:type="dxa"/>
            <w:noWrap w:val="0"/>
            <w:vAlign w:val="top"/>
          </w:tcPr>
          <w:p>
            <w:pPr>
              <w:jc w:val="center"/>
              <w:rPr>
                <w:rFonts w:hint="eastAsia" w:ascii="仿宋" w:hAnsi="仿宋" w:cs="仿宋"/>
                <w:color w:val="auto"/>
                <w:szCs w:val="21"/>
                <w:highlight w:val="none"/>
              </w:rPr>
            </w:pPr>
            <w:r>
              <w:rPr>
                <w:rFonts w:hint="eastAsia" w:ascii="仿宋" w:hAnsi="仿宋" w:cs="仿宋"/>
                <w:color w:val="auto"/>
                <w:szCs w:val="21"/>
                <w:highlight w:val="none"/>
              </w:rPr>
              <w:t>5.5～8.5</w:t>
            </w:r>
          </w:p>
        </w:tc>
      </w:tr>
    </w:tbl>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表2有机肥料中重金属限量指标要求   单位：mg/kg</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15"/>
        <w:gridCol w:w="2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5" w:type="dxa"/>
            <w:noWrap w:val="0"/>
            <w:vAlign w:val="top"/>
          </w:tcPr>
          <w:p>
            <w:pPr>
              <w:widowControl/>
              <w:jc w:val="center"/>
              <w:rPr>
                <w:rFonts w:hint="eastAsia" w:ascii="仿宋" w:hAnsi="仿宋" w:cs="仿宋"/>
                <w:color w:val="auto"/>
                <w:kern w:val="0"/>
                <w:szCs w:val="21"/>
                <w:highlight w:val="none"/>
                <w:lang w:bidi="ar"/>
              </w:rPr>
            </w:pPr>
            <w:r>
              <w:rPr>
                <w:rFonts w:hint="eastAsia" w:ascii="仿宋" w:hAnsi="仿宋" w:cs="仿宋"/>
                <w:color w:val="auto"/>
                <w:szCs w:val="21"/>
                <w:highlight w:val="none"/>
              </w:rPr>
              <w:t>项 目</w:t>
            </w:r>
          </w:p>
        </w:tc>
        <w:tc>
          <w:tcPr>
            <w:tcW w:w="2601" w:type="dxa"/>
            <w:noWrap w:val="0"/>
            <w:vAlign w:val="top"/>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限量指标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5" w:type="dxa"/>
            <w:noWrap w:val="0"/>
            <w:vAlign w:val="top"/>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总砷(As)(以烘干基计)</w:t>
            </w:r>
          </w:p>
        </w:tc>
        <w:tc>
          <w:tcPr>
            <w:tcW w:w="2601" w:type="dxa"/>
            <w:noWrap w:val="0"/>
            <w:vAlign w:val="top"/>
          </w:tcPr>
          <w:p>
            <w:pPr>
              <w:widowControl/>
              <w:jc w:val="center"/>
              <w:rPr>
                <w:rFonts w:hint="eastAsia" w:ascii="仿宋" w:hAnsi="仿宋" w:cs="仿宋"/>
                <w:color w:val="auto"/>
                <w:kern w:val="0"/>
                <w:szCs w:val="21"/>
                <w:highlight w:val="none"/>
                <w:lang w:bidi="ar"/>
              </w:rPr>
            </w:pPr>
            <w:r>
              <w:rPr>
                <w:rFonts w:hint="eastAsia" w:ascii="仿宋" w:hAnsi="仿宋" w:cs="仿宋"/>
                <w:color w:val="auto"/>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5" w:type="dxa"/>
            <w:noWrap w:val="0"/>
            <w:vAlign w:val="top"/>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总汞(Hg)(以烘干基计)</w:t>
            </w:r>
          </w:p>
        </w:tc>
        <w:tc>
          <w:tcPr>
            <w:tcW w:w="2601" w:type="dxa"/>
            <w:noWrap w:val="0"/>
            <w:vAlign w:val="top"/>
          </w:tcPr>
          <w:p>
            <w:pPr>
              <w:widowControl/>
              <w:jc w:val="center"/>
              <w:rPr>
                <w:rFonts w:hint="eastAsia" w:ascii="仿宋" w:hAnsi="仿宋" w:cs="仿宋"/>
                <w:color w:val="auto"/>
                <w:kern w:val="0"/>
                <w:szCs w:val="21"/>
                <w:highlight w:val="none"/>
                <w:lang w:bidi="ar"/>
              </w:rPr>
            </w:pPr>
            <w:r>
              <w:rPr>
                <w:rFonts w:hint="eastAsia" w:ascii="仿宋" w:hAnsi="仿宋" w:cs="仿宋"/>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5" w:type="dxa"/>
            <w:noWrap w:val="0"/>
            <w:vAlign w:val="top"/>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总铅(Pb)(以烘于基计)</w:t>
            </w:r>
          </w:p>
        </w:tc>
        <w:tc>
          <w:tcPr>
            <w:tcW w:w="2601" w:type="dxa"/>
            <w:noWrap w:val="0"/>
            <w:vAlign w:val="top"/>
          </w:tcPr>
          <w:p>
            <w:pPr>
              <w:widowControl/>
              <w:jc w:val="center"/>
              <w:rPr>
                <w:rFonts w:hint="eastAsia" w:ascii="仿宋" w:hAnsi="仿宋" w:cs="仿宋"/>
                <w:color w:val="auto"/>
                <w:kern w:val="0"/>
                <w:szCs w:val="21"/>
                <w:highlight w:val="none"/>
                <w:lang w:bidi="ar"/>
              </w:rPr>
            </w:pPr>
            <w:r>
              <w:rPr>
                <w:rFonts w:hint="eastAsia" w:ascii="仿宋" w:hAnsi="仿宋" w:cs="仿宋"/>
                <w:color w:val="auto"/>
                <w:szCs w:val="21"/>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5" w:type="dxa"/>
            <w:noWrap w:val="0"/>
            <w:vAlign w:val="top"/>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总镉(Cd)(以烘干基计)</w:t>
            </w:r>
          </w:p>
        </w:tc>
        <w:tc>
          <w:tcPr>
            <w:tcW w:w="2601" w:type="dxa"/>
            <w:noWrap w:val="0"/>
            <w:vAlign w:val="top"/>
          </w:tcPr>
          <w:p>
            <w:pPr>
              <w:widowControl/>
              <w:jc w:val="center"/>
              <w:rPr>
                <w:rFonts w:hint="eastAsia" w:ascii="仿宋" w:hAnsi="仿宋" w:cs="仿宋"/>
                <w:color w:val="auto"/>
                <w:kern w:val="0"/>
                <w:szCs w:val="21"/>
                <w:highlight w:val="none"/>
                <w:lang w:bidi="ar"/>
              </w:rPr>
            </w:pPr>
            <w:r>
              <w:rPr>
                <w:rFonts w:hint="eastAsia" w:ascii="仿宋" w:hAnsi="仿宋" w:cs="仿宋"/>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5" w:type="dxa"/>
            <w:noWrap w:val="0"/>
            <w:vAlign w:val="top"/>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总铬(Cr)(以烘干基计)</w:t>
            </w:r>
          </w:p>
        </w:tc>
        <w:tc>
          <w:tcPr>
            <w:tcW w:w="2601" w:type="dxa"/>
            <w:noWrap w:val="0"/>
            <w:vAlign w:val="top"/>
          </w:tcPr>
          <w:p>
            <w:pPr>
              <w:widowControl/>
              <w:jc w:val="center"/>
              <w:rPr>
                <w:rFonts w:hint="eastAsia" w:ascii="仿宋" w:hAnsi="仿宋" w:cs="仿宋"/>
                <w:color w:val="auto"/>
                <w:kern w:val="0"/>
                <w:szCs w:val="21"/>
                <w:highlight w:val="none"/>
                <w:lang w:bidi="ar"/>
              </w:rPr>
            </w:pPr>
            <w:r>
              <w:rPr>
                <w:rFonts w:hint="eastAsia" w:ascii="仿宋" w:hAnsi="仿宋" w:cs="仿宋"/>
                <w:color w:val="auto"/>
                <w:szCs w:val="21"/>
                <w:highlight w:val="none"/>
              </w:rPr>
              <w:t>≤150</w:t>
            </w:r>
          </w:p>
        </w:tc>
      </w:tr>
    </w:tbl>
    <w:p>
      <w:pPr>
        <w:widowControl/>
        <w:jc w:val="left"/>
        <w:rPr>
          <w:rFonts w:hint="eastAsia" w:ascii="仿宋" w:hAnsi="仿宋" w:cs="仿宋"/>
          <w:b/>
          <w:bCs/>
          <w:color w:val="auto"/>
          <w:kern w:val="0"/>
          <w:szCs w:val="21"/>
          <w:highlight w:val="none"/>
          <w:lang w:bidi="ar"/>
        </w:rPr>
      </w:pPr>
      <w:bookmarkStart w:id="136" w:name="_Toc685"/>
      <w:r>
        <w:rPr>
          <w:rFonts w:hint="eastAsia" w:ascii="仿宋" w:hAnsi="仿宋" w:cs="仿宋"/>
          <w:b/>
          <w:color w:val="auto"/>
          <w:sz w:val="18"/>
          <w:szCs w:val="18"/>
          <w:highlight w:val="none"/>
        </w:rPr>
        <w:t>★</w:t>
      </w:r>
      <w:r>
        <w:rPr>
          <w:rFonts w:hint="eastAsia" w:ascii="仿宋" w:hAnsi="仿宋" w:cs="仿宋"/>
          <w:b/>
          <w:bCs/>
          <w:color w:val="auto"/>
          <w:kern w:val="0"/>
          <w:szCs w:val="21"/>
          <w:highlight w:val="none"/>
          <w:lang w:bidi="ar"/>
        </w:rPr>
        <w:t>二、项目实施要求</w:t>
      </w:r>
      <w:bookmarkEnd w:id="136"/>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实施时使用施肥机进行施肥，将生物有机肥按0.2t/亩的标准均匀施撒于耕地表面，并及时利用</w:t>
      </w:r>
      <w:r>
        <w:rPr>
          <w:rFonts w:hint="eastAsia" w:ascii="仿宋" w:hAnsi="仿宋" w:cs="仿宋"/>
          <w:color w:val="auto"/>
          <w:szCs w:val="21"/>
          <w:highlight w:val="none"/>
        </w:rPr>
        <w:t>配置带GPS和计量计</w:t>
      </w:r>
      <w:r>
        <w:rPr>
          <w:rFonts w:hint="eastAsia" w:ascii="仿宋" w:hAnsi="仿宋" w:cs="仿宋"/>
          <w:color w:val="auto"/>
          <w:kern w:val="0"/>
          <w:szCs w:val="21"/>
          <w:highlight w:val="none"/>
          <w:lang w:bidi="ar"/>
        </w:rPr>
        <w:t>记录设备</w:t>
      </w:r>
      <w:r>
        <w:rPr>
          <w:rFonts w:hint="eastAsia" w:ascii="仿宋" w:hAnsi="仿宋" w:cs="仿宋"/>
          <w:color w:val="auto"/>
          <w:szCs w:val="21"/>
          <w:highlight w:val="none"/>
        </w:rPr>
        <w:t>的</w:t>
      </w:r>
      <w:r>
        <w:rPr>
          <w:rFonts w:hint="eastAsia" w:ascii="仿宋" w:hAnsi="仿宋" w:cs="仿宋"/>
          <w:color w:val="auto"/>
          <w:kern w:val="0"/>
          <w:szCs w:val="21"/>
          <w:highlight w:val="none"/>
          <w:lang w:bidi="ar"/>
        </w:rPr>
        <w:t>大型农机进行肥料抛洒。</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中标人提供大型专业的市场最先进的肥料抛洒设备，根据当地的农艺要求和机具性能选用喷福在5—15米范围内，作业速度在每小时40—60亩范围，作业机具要年轻化，不要老旧，作业质量好、肥料抛洒均匀，肥料抛洒过后重喷或漏喷现象不要超过总面积的10%，喷洒量、GPS轨迹、喷洒区域符合本项目要求，如果需多种肥料，搅和时须严格按照科学配比控制，不允许堆拌，设计区域范围内必须采用机械喷洒。</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深松整地作业模式：拖拉机带动单一深松功能的深松机具进行作业，作业深度一般要求超过25cm，拖拉机动力一般要求在80马力以上。</w:t>
      </w:r>
    </w:p>
    <w:tbl>
      <w:tblPr>
        <w:tblStyle w:val="14"/>
        <w:tblW w:w="8334" w:type="dxa"/>
        <w:tblInd w:w="93" w:type="dxa"/>
        <w:tblLayout w:type="fixed"/>
        <w:tblCellMar>
          <w:top w:w="0" w:type="dxa"/>
          <w:left w:w="108" w:type="dxa"/>
          <w:bottom w:w="0" w:type="dxa"/>
          <w:right w:w="108" w:type="dxa"/>
        </w:tblCellMar>
      </w:tblPr>
      <w:tblGrid>
        <w:gridCol w:w="2008"/>
        <w:gridCol w:w="2776"/>
        <w:gridCol w:w="2363"/>
        <w:gridCol w:w="1187"/>
      </w:tblGrid>
      <w:tr>
        <w:tblPrEx>
          <w:tblCellMar>
            <w:top w:w="0" w:type="dxa"/>
            <w:left w:w="108" w:type="dxa"/>
            <w:bottom w:w="0" w:type="dxa"/>
            <w:right w:w="108" w:type="dxa"/>
          </w:tblCellMar>
        </w:tblPrEx>
        <w:trPr>
          <w:trHeight w:val="472" w:hRule="atLeast"/>
        </w:trPr>
        <w:tc>
          <w:tcPr>
            <w:tcW w:w="2008"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包号</w:t>
            </w:r>
          </w:p>
        </w:tc>
        <w:tc>
          <w:tcPr>
            <w:tcW w:w="2776" w:type="dxa"/>
            <w:tcBorders>
              <w:top w:val="single" w:color="000000" w:sz="4" w:space="0"/>
              <w:left w:val="single" w:color="000000" w:sz="4" w:space="0"/>
              <w:bottom w:val="single" w:color="auto" w:sz="4" w:space="0"/>
              <w:right w:val="single" w:color="auto" w:sz="4" w:space="0"/>
            </w:tcBorders>
            <w:noWrap w:val="0"/>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村名</w:t>
            </w:r>
          </w:p>
        </w:tc>
        <w:tc>
          <w:tcPr>
            <w:tcW w:w="2363" w:type="dxa"/>
            <w:tcBorders>
              <w:top w:val="single" w:color="000000" w:sz="4" w:space="0"/>
              <w:left w:val="single" w:color="auto" w:sz="4" w:space="0"/>
              <w:bottom w:val="single" w:color="auto"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数量</w:t>
            </w:r>
          </w:p>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(亩)</w:t>
            </w:r>
          </w:p>
        </w:tc>
        <w:tc>
          <w:tcPr>
            <w:tcW w:w="1187" w:type="dxa"/>
            <w:tcBorders>
              <w:top w:val="single" w:color="000000" w:sz="4" w:space="0"/>
              <w:left w:val="single" w:color="auto" w:sz="4" w:space="0"/>
              <w:bottom w:val="single" w:color="auto"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施用标准数量</w:t>
            </w:r>
          </w:p>
        </w:tc>
      </w:tr>
      <w:tr>
        <w:tblPrEx>
          <w:tblCellMar>
            <w:top w:w="0" w:type="dxa"/>
            <w:left w:w="108" w:type="dxa"/>
            <w:bottom w:w="0" w:type="dxa"/>
            <w:right w:w="108" w:type="dxa"/>
          </w:tblCellMar>
        </w:tblPrEx>
        <w:trPr>
          <w:trHeight w:val="320" w:hRule="atLeast"/>
        </w:trPr>
        <w:tc>
          <w:tcPr>
            <w:tcW w:w="200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cs="仿宋"/>
                <w:color w:val="auto"/>
                <w:kern w:val="0"/>
                <w:szCs w:val="21"/>
                <w:highlight w:val="none"/>
                <w:lang w:bidi="ar"/>
              </w:rPr>
            </w:pPr>
            <w:r>
              <w:rPr>
                <w:rFonts w:hint="eastAsia" w:ascii="仿宋" w:hAnsi="仿宋" w:cs="仿宋"/>
                <w:color w:val="auto"/>
                <w:kern w:val="0"/>
                <w:szCs w:val="21"/>
                <w:highlight w:val="none"/>
                <w:lang w:bidi="ar"/>
              </w:rPr>
              <w:t>001包</w:t>
            </w:r>
          </w:p>
        </w:tc>
        <w:tc>
          <w:tcPr>
            <w:tcW w:w="27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红土岭村</w:t>
            </w:r>
          </w:p>
        </w:tc>
        <w:tc>
          <w:tcPr>
            <w:tcW w:w="23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3115</w:t>
            </w:r>
          </w:p>
        </w:tc>
        <w:tc>
          <w:tcPr>
            <w:tcW w:w="118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szCs w:val="21"/>
                <w:highlight w:val="none"/>
              </w:rPr>
              <w:t>0.2t/亩</w:t>
            </w:r>
          </w:p>
        </w:tc>
      </w:tr>
      <w:tr>
        <w:tblPrEx>
          <w:tblCellMar>
            <w:top w:w="0" w:type="dxa"/>
            <w:left w:w="108" w:type="dxa"/>
            <w:bottom w:w="0" w:type="dxa"/>
            <w:right w:w="108" w:type="dxa"/>
          </w:tblCellMar>
        </w:tblPrEx>
        <w:trPr>
          <w:trHeight w:val="320" w:hRule="atLeast"/>
        </w:trPr>
        <w:tc>
          <w:tcPr>
            <w:tcW w:w="2008"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277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羊角峪村</w:t>
            </w:r>
          </w:p>
        </w:tc>
        <w:tc>
          <w:tcPr>
            <w:tcW w:w="236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503</w:t>
            </w:r>
          </w:p>
        </w:tc>
        <w:tc>
          <w:tcPr>
            <w:tcW w:w="118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2008"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277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松树沟村</w:t>
            </w:r>
          </w:p>
        </w:tc>
        <w:tc>
          <w:tcPr>
            <w:tcW w:w="236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1036</w:t>
            </w:r>
          </w:p>
        </w:tc>
        <w:tc>
          <w:tcPr>
            <w:tcW w:w="118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2008"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277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打白虎村</w:t>
            </w:r>
          </w:p>
        </w:tc>
        <w:tc>
          <w:tcPr>
            <w:tcW w:w="236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2176</w:t>
            </w:r>
          </w:p>
        </w:tc>
        <w:tc>
          <w:tcPr>
            <w:tcW w:w="118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2008"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277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小计</w:t>
            </w:r>
          </w:p>
        </w:tc>
        <w:tc>
          <w:tcPr>
            <w:tcW w:w="236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6830</w:t>
            </w:r>
          </w:p>
        </w:tc>
        <w:tc>
          <w:tcPr>
            <w:tcW w:w="118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2008"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277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柳官村</w:t>
            </w:r>
          </w:p>
        </w:tc>
        <w:tc>
          <w:tcPr>
            <w:tcW w:w="236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1959</w:t>
            </w:r>
          </w:p>
        </w:tc>
        <w:tc>
          <w:tcPr>
            <w:tcW w:w="118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2008"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277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老达堡村</w:t>
            </w:r>
          </w:p>
        </w:tc>
        <w:tc>
          <w:tcPr>
            <w:tcW w:w="236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1091</w:t>
            </w:r>
          </w:p>
        </w:tc>
        <w:tc>
          <w:tcPr>
            <w:tcW w:w="118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2008"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277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缸窑岭村</w:t>
            </w:r>
          </w:p>
        </w:tc>
        <w:tc>
          <w:tcPr>
            <w:tcW w:w="236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2520</w:t>
            </w:r>
          </w:p>
        </w:tc>
        <w:tc>
          <w:tcPr>
            <w:tcW w:w="118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2008"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277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小计</w:t>
            </w:r>
          </w:p>
        </w:tc>
        <w:tc>
          <w:tcPr>
            <w:tcW w:w="236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5570</w:t>
            </w:r>
          </w:p>
        </w:tc>
        <w:tc>
          <w:tcPr>
            <w:tcW w:w="118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2008"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277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马风村</w:t>
            </w:r>
          </w:p>
        </w:tc>
        <w:tc>
          <w:tcPr>
            <w:tcW w:w="236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1165</w:t>
            </w:r>
          </w:p>
        </w:tc>
        <w:tc>
          <w:tcPr>
            <w:tcW w:w="118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2008"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277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前马村</w:t>
            </w:r>
          </w:p>
        </w:tc>
        <w:tc>
          <w:tcPr>
            <w:tcW w:w="236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1303</w:t>
            </w:r>
          </w:p>
        </w:tc>
        <w:tc>
          <w:tcPr>
            <w:tcW w:w="118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2008"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277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孔马村</w:t>
            </w:r>
          </w:p>
        </w:tc>
        <w:tc>
          <w:tcPr>
            <w:tcW w:w="236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1510</w:t>
            </w:r>
          </w:p>
        </w:tc>
        <w:tc>
          <w:tcPr>
            <w:tcW w:w="118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2008"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277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杨马村</w:t>
            </w:r>
          </w:p>
        </w:tc>
        <w:tc>
          <w:tcPr>
            <w:tcW w:w="236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2617</w:t>
            </w:r>
          </w:p>
        </w:tc>
        <w:tc>
          <w:tcPr>
            <w:tcW w:w="118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2008"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277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范马村</w:t>
            </w:r>
          </w:p>
        </w:tc>
        <w:tc>
          <w:tcPr>
            <w:tcW w:w="236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505</w:t>
            </w:r>
          </w:p>
        </w:tc>
        <w:tc>
          <w:tcPr>
            <w:tcW w:w="118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2008"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277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小计</w:t>
            </w:r>
          </w:p>
        </w:tc>
        <w:tc>
          <w:tcPr>
            <w:tcW w:w="236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7100</w:t>
            </w:r>
          </w:p>
        </w:tc>
        <w:tc>
          <w:tcPr>
            <w:tcW w:w="118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2008"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bookmarkStart w:id="137" w:name="_Toc8195"/>
          </w:p>
        </w:tc>
        <w:tc>
          <w:tcPr>
            <w:tcW w:w="277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合计</w:t>
            </w:r>
          </w:p>
        </w:tc>
        <w:tc>
          <w:tcPr>
            <w:tcW w:w="236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19500</w:t>
            </w:r>
          </w:p>
        </w:tc>
        <w:tc>
          <w:tcPr>
            <w:tcW w:w="118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bl>
    <w:p>
      <w:pPr>
        <w:widowControl/>
        <w:jc w:val="left"/>
        <w:rPr>
          <w:rFonts w:hint="eastAsia" w:ascii="仿宋" w:hAnsi="仿宋" w:cs="仿宋"/>
          <w:b/>
          <w:bCs/>
          <w:color w:val="auto"/>
          <w:kern w:val="0"/>
          <w:szCs w:val="21"/>
          <w:highlight w:val="none"/>
          <w:lang w:bidi="ar"/>
        </w:rPr>
      </w:pPr>
      <w:r>
        <w:rPr>
          <w:rFonts w:hint="eastAsia" w:ascii="仿宋" w:hAnsi="仿宋" w:cs="仿宋"/>
          <w:b/>
          <w:color w:val="auto"/>
          <w:sz w:val="18"/>
          <w:szCs w:val="18"/>
          <w:highlight w:val="none"/>
        </w:rPr>
        <w:t>★</w:t>
      </w:r>
      <w:r>
        <w:rPr>
          <w:rFonts w:hint="eastAsia" w:ascii="仿宋" w:hAnsi="仿宋" w:cs="仿宋"/>
          <w:b/>
          <w:bCs/>
          <w:color w:val="auto"/>
          <w:kern w:val="0"/>
          <w:szCs w:val="21"/>
          <w:highlight w:val="none"/>
          <w:lang w:bidi="ar"/>
        </w:rPr>
        <w:t>三、检测要求</w:t>
      </w:r>
      <w:bookmarkEnd w:id="137"/>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（1）检测内容</w:t>
      </w:r>
    </w:p>
    <w:p>
      <w:pPr>
        <w:widowControl/>
        <w:ind w:firstLine="630" w:firstLineChars="3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检测点位：本项目施肥前（上批粮食作物收割后）肥料运输到达采购人指定地点后，采购人将对肥料进行随机抽样检测，并对供货肥料与投标文件中所报肥料信息等进行对比。本项目所有肥料施撒完成后,采购人将在项目涉及的36000亩范围内随机抽样检测。采样时，一要避开路边、地头、田埂、沟边、肥堆点、根茬点、局部特殊地形等特殊部位；二要按照“等量”和“多点混合”的原则，在采样田块按“S”型或棋盘布点等方法布设采集5个以上分样点混合均匀后，再采用“四分法”留存土壤样品；三要在采样后注意挑出根系、秸秆、石块、虫体等杂物，以免给土壤检测带来误差。并测量出样点坐标（2000国家大地坐标系），标出其平面坐标及检测点位分布图；</w:t>
      </w:r>
    </w:p>
    <w:p>
      <w:pPr>
        <w:widowControl/>
        <w:ind w:firstLine="630" w:firstLineChars="3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2）检测项目：检测点土壤中的ph值、有机质含量、有效磷、缓效钾、速效钾、全氮共计6项；</w:t>
      </w:r>
    </w:p>
    <w:p>
      <w:pPr>
        <w:widowControl/>
        <w:ind w:firstLine="630" w:firstLineChars="3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3）检测时间和频次：施肥前（上批粮食作物收割后）随机抽样检测一次，施肥后（下批粮食作物种植前）随机抽样检测一次，共计两次。</w:t>
      </w:r>
    </w:p>
    <w:p>
      <w:pPr>
        <w:widowControl/>
        <w:ind w:firstLine="630" w:firstLineChars="3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4）检测方法及仪器设备</w:t>
      </w:r>
    </w:p>
    <w:tbl>
      <w:tblPr>
        <w:tblStyle w:val="14"/>
        <w:tblW w:w="5084" w:type="pct"/>
        <w:tblInd w:w="0" w:type="dxa"/>
        <w:tblLayout w:type="fixed"/>
        <w:tblCellMar>
          <w:top w:w="0" w:type="dxa"/>
          <w:left w:w="108" w:type="dxa"/>
          <w:bottom w:w="0" w:type="dxa"/>
          <w:right w:w="108" w:type="dxa"/>
        </w:tblCellMar>
      </w:tblPr>
      <w:tblGrid>
        <w:gridCol w:w="578"/>
        <w:gridCol w:w="1008"/>
        <w:gridCol w:w="5381"/>
        <w:gridCol w:w="1692"/>
      </w:tblGrid>
      <w:tr>
        <w:tblPrEx>
          <w:tblCellMar>
            <w:top w:w="0" w:type="dxa"/>
            <w:left w:w="108" w:type="dxa"/>
            <w:bottom w:w="0" w:type="dxa"/>
            <w:right w:w="108" w:type="dxa"/>
          </w:tblCellMar>
        </w:tblPrEx>
        <w:trPr>
          <w:trHeight w:val="270" w:hRule="atLeast"/>
          <w:tblHeader/>
        </w:trPr>
        <w:tc>
          <w:tcPr>
            <w:tcW w:w="334"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序号</w:t>
            </w:r>
          </w:p>
        </w:tc>
        <w:tc>
          <w:tcPr>
            <w:tcW w:w="58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检测项目</w:t>
            </w:r>
          </w:p>
        </w:tc>
        <w:tc>
          <w:tcPr>
            <w:tcW w:w="31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分析方法</w:t>
            </w:r>
          </w:p>
        </w:tc>
        <w:tc>
          <w:tcPr>
            <w:tcW w:w="97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分析仪器</w:t>
            </w:r>
          </w:p>
        </w:tc>
      </w:tr>
      <w:tr>
        <w:tblPrEx>
          <w:tblCellMar>
            <w:top w:w="0" w:type="dxa"/>
            <w:left w:w="108" w:type="dxa"/>
            <w:bottom w:w="0" w:type="dxa"/>
            <w:right w:w="108" w:type="dxa"/>
          </w:tblCellMar>
        </w:tblPrEx>
        <w:trPr>
          <w:trHeight w:val="90" w:hRule="atLeast"/>
        </w:trPr>
        <w:tc>
          <w:tcPr>
            <w:tcW w:w="334"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w:t>
            </w:r>
          </w:p>
        </w:tc>
        <w:tc>
          <w:tcPr>
            <w:tcW w:w="582" w:type="pct"/>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PH</w:t>
            </w:r>
          </w:p>
        </w:tc>
        <w:tc>
          <w:tcPr>
            <w:tcW w:w="3106"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土壤检测 第2部分：土壤pH的测定（NY/T 1121.2-2006）</w:t>
            </w:r>
          </w:p>
        </w:tc>
        <w:tc>
          <w:tcPr>
            <w:tcW w:w="977" w:type="pct"/>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PH计</w:t>
            </w:r>
          </w:p>
        </w:tc>
      </w:tr>
      <w:tr>
        <w:tblPrEx>
          <w:tblCellMar>
            <w:top w:w="0" w:type="dxa"/>
            <w:left w:w="108" w:type="dxa"/>
            <w:bottom w:w="0" w:type="dxa"/>
            <w:right w:w="108" w:type="dxa"/>
          </w:tblCellMar>
        </w:tblPrEx>
        <w:trPr>
          <w:trHeight w:val="294" w:hRule="atLeast"/>
        </w:trPr>
        <w:tc>
          <w:tcPr>
            <w:tcW w:w="334" w:type="pct"/>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w:t>
            </w:r>
          </w:p>
        </w:tc>
        <w:tc>
          <w:tcPr>
            <w:tcW w:w="582"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有机质</w:t>
            </w:r>
          </w:p>
        </w:tc>
        <w:tc>
          <w:tcPr>
            <w:tcW w:w="3106" w:type="pct"/>
            <w:tcBorders>
              <w:top w:val="nil"/>
              <w:left w:val="nil"/>
              <w:bottom w:val="single" w:color="auto" w:sz="4" w:space="0"/>
              <w:right w:val="single" w:color="auto" w:sz="4" w:space="0"/>
            </w:tcBorders>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土壤检测 第6部分：土壤有机质的测定（NY/T 1121.6-2006）</w:t>
            </w:r>
          </w:p>
        </w:tc>
        <w:tc>
          <w:tcPr>
            <w:tcW w:w="977"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数字瓶口滴定器</w:t>
            </w:r>
          </w:p>
        </w:tc>
      </w:tr>
      <w:tr>
        <w:tblPrEx>
          <w:tblCellMar>
            <w:top w:w="0" w:type="dxa"/>
            <w:left w:w="108" w:type="dxa"/>
            <w:bottom w:w="0" w:type="dxa"/>
            <w:right w:w="108" w:type="dxa"/>
          </w:tblCellMar>
        </w:tblPrEx>
        <w:trPr>
          <w:trHeight w:val="234" w:hRule="atLeast"/>
        </w:trPr>
        <w:tc>
          <w:tcPr>
            <w:tcW w:w="334" w:type="pct"/>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3</w:t>
            </w:r>
          </w:p>
        </w:tc>
        <w:tc>
          <w:tcPr>
            <w:tcW w:w="582"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有效磷</w:t>
            </w:r>
          </w:p>
        </w:tc>
        <w:tc>
          <w:tcPr>
            <w:tcW w:w="3106" w:type="pct"/>
            <w:tcBorders>
              <w:top w:val="nil"/>
              <w:left w:val="nil"/>
              <w:bottom w:val="single" w:color="auto" w:sz="4" w:space="0"/>
              <w:right w:val="single" w:color="auto" w:sz="4" w:space="0"/>
            </w:tcBorders>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土壤检测 第7部分：土壤有效磷的测定（NY/T 1121.7-2014）</w:t>
            </w:r>
          </w:p>
        </w:tc>
        <w:tc>
          <w:tcPr>
            <w:tcW w:w="977"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紫外分光光度计</w:t>
            </w:r>
          </w:p>
        </w:tc>
      </w:tr>
      <w:tr>
        <w:tblPrEx>
          <w:tblCellMar>
            <w:top w:w="0" w:type="dxa"/>
            <w:left w:w="108" w:type="dxa"/>
            <w:bottom w:w="0" w:type="dxa"/>
            <w:right w:w="108" w:type="dxa"/>
          </w:tblCellMar>
        </w:tblPrEx>
        <w:trPr>
          <w:trHeight w:val="335" w:hRule="atLeast"/>
        </w:trPr>
        <w:tc>
          <w:tcPr>
            <w:tcW w:w="334" w:type="pct"/>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4</w:t>
            </w:r>
          </w:p>
        </w:tc>
        <w:tc>
          <w:tcPr>
            <w:tcW w:w="582"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缓效钾</w:t>
            </w:r>
          </w:p>
        </w:tc>
        <w:tc>
          <w:tcPr>
            <w:tcW w:w="3106" w:type="pct"/>
            <w:tcBorders>
              <w:top w:val="nil"/>
              <w:left w:val="nil"/>
              <w:bottom w:val="single" w:color="auto" w:sz="4" w:space="0"/>
              <w:right w:val="single" w:color="auto" w:sz="4" w:space="0"/>
            </w:tcBorders>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土壤速效钾和缓效钾含量的测定(NY/T 889-2004)</w:t>
            </w:r>
          </w:p>
        </w:tc>
        <w:tc>
          <w:tcPr>
            <w:tcW w:w="977"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火焰光度计</w:t>
            </w:r>
          </w:p>
        </w:tc>
      </w:tr>
      <w:tr>
        <w:tblPrEx>
          <w:tblCellMar>
            <w:top w:w="0" w:type="dxa"/>
            <w:left w:w="108" w:type="dxa"/>
            <w:bottom w:w="0" w:type="dxa"/>
            <w:right w:w="108" w:type="dxa"/>
          </w:tblCellMar>
        </w:tblPrEx>
        <w:trPr>
          <w:trHeight w:val="335" w:hRule="atLeast"/>
        </w:trPr>
        <w:tc>
          <w:tcPr>
            <w:tcW w:w="334" w:type="pct"/>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5</w:t>
            </w:r>
          </w:p>
        </w:tc>
        <w:tc>
          <w:tcPr>
            <w:tcW w:w="582"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速效钾</w:t>
            </w:r>
          </w:p>
        </w:tc>
        <w:tc>
          <w:tcPr>
            <w:tcW w:w="3106" w:type="pct"/>
            <w:tcBorders>
              <w:top w:val="nil"/>
              <w:left w:val="nil"/>
              <w:bottom w:val="single" w:color="auto" w:sz="4" w:space="0"/>
              <w:right w:val="single" w:color="auto" w:sz="4" w:space="0"/>
            </w:tcBorders>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土壤速效钾和缓效钾含量的测定(NY/T 889-2004)</w:t>
            </w:r>
          </w:p>
        </w:tc>
        <w:tc>
          <w:tcPr>
            <w:tcW w:w="977"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火焰光度计</w:t>
            </w:r>
          </w:p>
        </w:tc>
      </w:tr>
      <w:tr>
        <w:tblPrEx>
          <w:tblCellMar>
            <w:top w:w="0" w:type="dxa"/>
            <w:left w:w="108" w:type="dxa"/>
            <w:bottom w:w="0" w:type="dxa"/>
            <w:right w:w="108" w:type="dxa"/>
          </w:tblCellMar>
        </w:tblPrEx>
        <w:trPr>
          <w:trHeight w:val="472" w:hRule="atLeast"/>
        </w:trPr>
        <w:tc>
          <w:tcPr>
            <w:tcW w:w="334" w:type="pct"/>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6</w:t>
            </w:r>
          </w:p>
        </w:tc>
        <w:tc>
          <w:tcPr>
            <w:tcW w:w="582"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全氮</w:t>
            </w:r>
          </w:p>
        </w:tc>
        <w:tc>
          <w:tcPr>
            <w:tcW w:w="3106" w:type="pct"/>
            <w:tcBorders>
              <w:top w:val="nil"/>
              <w:left w:val="nil"/>
              <w:bottom w:val="single" w:color="auto" w:sz="4" w:space="0"/>
              <w:right w:val="single" w:color="auto" w:sz="4" w:space="0"/>
            </w:tcBorders>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土壤检测 第24部分：土壤全氮的测定自动定氮仪法（NY/T1121.24-2012）</w:t>
            </w:r>
          </w:p>
        </w:tc>
        <w:tc>
          <w:tcPr>
            <w:tcW w:w="977"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全自动定氮仪</w:t>
            </w:r>
          </w:p>
        </w:tc>
      </w:tr>
    </w:tbl>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（2）成果提交</w:t>
      </w:r>
    </w:p>
    <w:p>
      <w:pPr>
        <w:widowControl/>
        <w:ind w:firstLine="630" w:firstLineChars="3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1）带有CMA资质认可的检测报告及过程的质控报告。</w:t>
      </w:r>
    </w:p>
    <w:p>
      <w:pPr>
        <w:widowControl/>
        <w:ind w:firstLine="630" w:firstLineChars="3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2）综合分析报告，（包含施肥前后检测指标的变化，谱图分析、图片材料等）。</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（3）检测其他要求</w:t>
      </w:r>
    </w:p>
    <w:p>
      <w:pPr>
        <w:widowControl/>
        <w:ind w:firstLine="630" w:firstLineChars="3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1）检测所发生的全部费用由中标人支付。</w:t>
      </w:r>
    </w:p>
    <w:p>
      <w:pPr>
        <w:widowControl/>
        <w:ind w:firstLine="630" w:firstLineChars="3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2）检测全过程（包括但不限于取样、送检、检测及检测机构等）无需中标人接触。</w:t>
      </w:r>
    </w:p>
    <w:p>
      <w:pPr>
        <w:widowControl/>
        <w:jc w:val="left"/>
        <w:rPr>
          <w:rFonts w:hint="eastAsia" w:ascii="仿宋" w:hAnsi="仿宋" w:cs="仿宋"/>
          <w:b/>
          <w:bCs/>
          <w:color w:val="auto"/>
          <w:kern w:val="0"/>
          <w:szCs w:val="21"/>
          <w:highlight w:val="none"/>
          <w:lang w:bidi="ar"/>
        </w:rPr>
      </w:pPr>
      <w:bookmarkStart w:id="138" w:name="_Toc11553"/>
      <w:r>
        <w:rPr>
          <w:rFonts w:hint="eastAsia" w:ascii="仿宋" w:hAnsi="仿宋" w:cs="仿宋"/>
          <w:b/>
          <w:color w:val="auto"/>
          <w:sz w:val="18"/>
          <w:szCs w:val="18"/>
          <w:highlight w:val="none"/>
        </w:rPr>
        <w:t>★</w:t>
      </w:r>
      <w:r>
        <w:rPr>
          <w:rFonts w:hint="eastAsia" w:ascii="仿宋" w:hAnsi="仿宋" w:cs="仿宋"/>
          <w:b/>
          <w:bCs/>
          <w:color w:val="auto"/>
          <w:kern w:val="0"/>
          <w:szCs w:val="21"/>
          <w:highlight w:val="none"/>
          <w:lang w:bidi="ar"/>
        </w:rPr>
        <w:t>四、售后服务要求</w:t>
      </w:r>
      <w:bookmarkEnd w:id="138"/>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中标人应保证在供货时所提供产品均为质量合格产品新产品，质量符合国家承认的相应标准，同时产品的包装、标签、说明书等符合国家有关规定；供货时，提供与所供批次产品金额相对应的发票原件，并保证与投标文件中承诺的产品质量、产品名称、品牌、型号、规格、数量、原产地、制造商名称相一致，以确保现场使用安全有效，不存在非法转包的情况。否则，采购人有权单方面解除合同，货款不予支付。如给采购人造成损失，损失部分由中标人承担。</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2、如因中标人所供产品质量问题或抽样检测不合格，所导致所产生的赔偿责任等所有责任全部由中标人直接承担，给采购人造成损失的，损失部分由中标人承担，采购人可单方面解除合同，货款不予支付。</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3、产品在使用过程中出现问题，提供7×24小时电话技术支持，技术服务人员到达现场响应时间为4小时内，并于6小时内解决，特殊情况在24小时内无法解决的，应采取应急措施正常使用。</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4、中标人应安排技术服务人员现场施撒服务，对验收时发现的破损、近效期产品或其它不符合标准的产品，采购人有权拒收，中标人应在7日内负责无条件更换同类新的产品；因乙方储存不当造成的质量损坏及损失，采购人不负责任，由中标人自行解决并承担责任。</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5、施撒服务具体要求：</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（1）按采购人要求提供现场技术支持和服务，进行规范现场施撒肥服务。</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（2）按照施撒定量均匀进行施撒，施撒符合本项目采购需求。</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（3）产品送达施撒现场后，进行检斤，将检斤见证签字（监理单位、中标人、采购单位）。</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4）施撒所需设备车辆需安装GPS定位系统，GPS定位系统必须保证随时能够导出本项目的卫星数据，施撒全过程录像（必要时使用无人机录像设备），中标人施撒工作完成后，施撒全过程影像资料、GPS定位系统所有数据资料等交于采购人存档。施撒所需设备车辆未安装GPS定位系统、施撒全过程若无全程录像（或录像不全），采购人可单方面解除合同，货款不予支付。</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（5）因不可抗力因素，导致大型专业肥料抛洒设备无法进场，必要时可采用无人机进行施撒肥料，若使用无人机设备施撒肥料，喷洒量、GPS轨迹、喷洒区域符合本项目要求。</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6、中标人必须按实际成交价格和每批次为采购人提供的产品数量如实开具发票，采购人将根据中标人提供的发票付款。</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7、中标人须配置专业技术人员提供现场技术支持与培训，施撒服务，保证采购人的使用人员可正常使用本产品。</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8、投标人应提供产品的相关手续验收：投标人应向采购人提供详细的出厂质量检验标准、质量证明、出厂合格证。</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9、投标人应保证在整个投标过程中诚实守信，如有提供劣质产品，虚报、欺瞒采购人等情形，采购人将拒绝付款（包括已使用部分）并退货，如因此给采购人造成损失，损失部分由投标人自行承担，已签合同自行解除，投标人应承担相应的法律责任。</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10、在合同履行期限内，如出现供货时间严重滞后，或者未能在合同履行期限内完成供货或施撒任务，影响村民春种或采购使用的情形，采购人可以扣履约保证金中相应比例。情节严重的，采购人有权终止合同，余款不予支付，给采购人所造成的相应损失，采购人保留追偿的权利。</w:t>
      </w:r>
    </w:p>
    <w:p>
      <w:pPr>
        <w:widowControl/>
        <w:jc w:val="left"/>
        <w:rPr>
          <w:rFonts w:hint="eastAsia" w:ascii="仿宋" w:hAnsi="仿宋" w:cs="仿宋"/>
          <w:b/>
          <w:bCs/>
          <w:color w:val="auto"/>
          <w:kern w:val="0"/>
          <w:szCs w:val="21"/>
          <w:highlight w:val="none"/>
          <w:lang w:bidi="ar"/>
        </w:rPr>
      </w:pPr>
      <w:bookmarkStart w:id="139" w:name="_Toc10128"/>
      <w:r>
        <w:rPr>
          <w:rFonts w:hint="eastAsia" w:ascii="仿宋" w:hAnsi="仿宋" w:cs="仿宋"/>
          <w:b/>
          <w:bCs/>
          <w:color w:val="auto"/>
          <w:kern w:val="0"/>
          <w:szCs w:val="21"/>
          <w:highlight w:val="none"/>
          <w:lang w:bidi="ar"/>
        </w:rPr>
        <w:t>五、其他要求及说明</w:t>
      </w:r>
      <w:bookmarkEnd w:id="139"/>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1、本次投标报价应包含本项目所涉及的运输、保险、人工、材料、验收、现场施撒服务、税金等所有费用，直到验收合格为止，采购人不再支付除合同价款以外的任何费用。</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2、所有新购产品必须是全新出厂的，如果发现因包装或运输不当引起的损坏失效，投标人应负责更换，采购人可通过出厂证明，包装及数量等方面对货物进行验收，也可以随时对产品质量及数量进行抽验。</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3、投标人在投标文件中应标明所投所有产品的品牌、型号、技术参数、产地、生产厂家等相关信息。投标文件中也可附图片、说明书、合格证明、认证证书等资料予以补充说明。</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4、中标人应如期保质保量的完成本项目所涉及的所有内容，如未达到采购要求，应及时进行调整，直到完全满足其使用要求，如果最终的调整仍达不到要求，采购人有权利要求中标人承担违约责任，违约金从合同价款中扣除，严重不满足时，采购人有权终止合同，并保留相关损失追偿的权利。</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5本技术规格和技术要求所列货物的技术、规格功能作为投标人本项目投标满足的最基本要求，投标人所提供的货物在技术与功能等方面应等同于或高于上述技术、功能要求。并未对一切细节做出全部详细规定，也未充分引述有关标准和规范的条文，投标人所有与本项目有关的技术标准均应不低于报价时已颁布的国家和行业标准，或相应的国际标准的有关条文。使用最新的专利和保密专利需特别说明。检测标准依据国家现行标准执行。</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6、投标人必须为所有被培训人员提供培训用文字资料和讲义等相关用品，所有的资料必须是中文或英文书写。投标方必需提供但不限于以下内容的培训：现场施肥技术支持，施撒服务、常见问题现象及诊断、解决办法，培训费用（场地、人员等）包含在投标总报价中。</w:t>
      </w:r>
    </w:p>
    <w:p>
      <w:pPr>
        <w:widowControl/>
        <w:ind w:firstLine="420" w:firstLineChars="200"/>
        <w:jc w:val="left"/>
        <w:rPr>
          <w:rFonts w:hint="eastAsia" w:ascii="仿宋" w:hAnsi="仿宋" w:cs="仿宋"/>
          <w:color w:val="auto"/>
          <w:kern w:val="0"/>
          <w:sz w:val="22"/>
          <w:szCs w:val="22"/>
          <w:highlight w:val="none"/>
          <w:lang w:bidi="ar"/>
        </w:rPr>
      </w:pPr>
      <w:r>
        <w:rPr>
          <w:rFonts w:hint="eastAsia" w:ascii="仿宋" w:hAnsi="仿宋" w:cs="仿宋"/>
          <w:color w:val="auto"/>
          <w:kern w:val="0"/>
          <w:szCs w:val="21"/>
          <w:highlight w:val="none"/>
          <w:lang w:bidi="ar"/>
        </w:rPr>
        <w:t>7、本技术规格参数提出的各项功能要求和技术指标是对本项目的最基本要求，并未对一切细节做出全部详细规定，也未充分引述有关标准和规范的条文，投标人所有与本项目有关的技术标准均应不低于报价时已颁布的国家和行业标准，或相应的国际标准的有关条文</w:t>
      </w:r>
      <w:r>
        <w:rPr>
          <w:rFonts w:hint="eastAsia" w:ascii="仿宋" w:hAnsi="仿宋" w:cs="仿宋"/>
          <w:color w:val="auto"/>
          <w:kern w:val="0"/>
          <w:sz w:val="22"/>
          <w:szCs w:val="22"/>
          <w:highlight w:val="none"/>
          <w:lang w:bidi="ar"/>
        </w:rPr>
        <w:t>。</w:t>
      </w:r>
    </w:p>
    <w:p>
      <w:pPr>
        <w:jc w:val="center"/>
        <w:outlineLvl w:val="1"/>
        <w:rPr>
          <w:rFonts w:ascii="仿宋" w:hAnsi="仿宋" w:cs="仿宋"/>
          <w:b/>
          <w:bCs/>
          <w:color w:val="auto"/>
          <w:szCs w:val="21"/>
          <w:highlight w:val="none"/>
        </w:rPr>
      </w:pPr>
      <w:r>
        <w:rPr>
          <w:rFonts w:hint="eastAsia" w:ascii="仿宋" w:hAnsi="仿宋" w:cs="仿宋"/>
          <w:b/>
          <w:bCs/>
          <w:color w:val="auto"/>
          <w:szCs w:val="21"/>
          <w:highlight w:val="none"/>
        </w:rPr>
        <w:br w:type="page"/>
      </w:r>
      <w:r>
        <w:rPr>
          <w:rFonts w:hint="eastAsia" w:ascii="仿宋" w:hAnsi="仿宋" w:cs="仿宋"/>
          <w:b/>
          <w:bCs/>
          <w:color w:val="auto"/>
          <w:szCs w:val="21"/>
          <w:highlight w:val="none"/>
        </w:rPr>
        <w:t>002包货物需求</w:t>
      </w:r>
    </w:p>
    <w:p>
      <w:pPr>
        <w:rPr>
          <w:rFonts w:hint="eastAsia" w:ascii="仿宋" w:hAnsi="仿宋" w:cs="仿宋"/>
          <w:b/>
          <w:bCs/>
          <w:color w:val="auto"/>
          <w:szCs w:val="21"/>
          <w:highlight w:val="none"/>
        </w:rPr>
      </w:pPr>
      <w:r>
        <w:rPr>
          <w:rFonts w:hint="eastAsia" w:ascii="仿宋" w:hAnsi="仿宋" w:cs="仿宋"/>
          <w:b/>
          <w:color w:val="auto"/>
          <w:sz w:val="18"/>
          <w:szCs w:val="18"/>
          <w:highlight w:val="none"/>
        </w:rPr>
        <w:t>★</w:t>
      </w:r>
      <w:r>
        <w:rPr>
          <w:rFonts w:hint="eastAsia" w:ascii="仿宋" w:hAnsi="仿宋" w:cs="仿宋"/>
          <w:b/>
          <w:bCs/>
          <w:color w:val="auto"/>
          <w:szCs w:val="21"/>
          <w:highlight w:val="none"/>
        </w:rPr>
        <w:t>一、产品参数</w:t>
      </w:r>
    </w:p>
    <w:p>
      <w:pPr>
        <w:ind w:firstLine="420" w:firstLineChars="200"/>
        <w:rPr>
          <w:rFonts w:hint="eastAsia" w:ascii="仿宋" w:hAnsi="仿宋" w:cs="仿宋"/>
          <w:color w:val="auto"/>
          <w:szCs w:val="21"/>
          <w:highlight w:val="none"/>
        </w:rPr>
      </w:pPr>
      <w:r>
        <w:rPr>
          <w:rFonts w:hint="eastAsia" w:ascii="仿宋" w:hAnsi="仿宋" w:cs="仿宋"/>
          <w:color w:val="auto"/>
          <w:szCs w:val="21"/>
          <w:highlight w:val="none"/>
        </w:rPr>
        <w:t>商品有机肥选用颗粒状商品有机肥，且符合中华人民共和国农业行业标准《有机肥料》（NY/T 525-2021）的规定，主要技术指标见表1和表2。施用标准为平均0.2t/亩。</w:t>
      </w:r>
    </w:p>
    <w:p>
      <w:pPr>
        <w:jc w:val="center"/>
        <w:rPr>
          <w:rFonts w:hint="eastAsia" w:ascii="仿宋" w:hAnsi="仿宋" w:cs="仿宋"/>
          <w:color w:val="auto"/>
          <w:szCs w:val="21"/>
          <w:highlight w:val="none"/>
        </w:rPr>
      </w:pPr>
      <w:r>
        <w:rPr>
          <w:rFonts w:hint="eastAsia" w:ascii="仿宋" w:hAnsi="仿宋" w:cs="仿宋"/>
          <w:color w:val="auto"/>
          <w:szCs w:val="21"/>
          <w:highlight w:val="none"/>
        </w:rPr>
        <w:t>表1有机肥料技术指标要求</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15"/>
        <w:gridCol w:w="2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5" w:type="dxa"/>
            <w:noWrap w:val="0"/>
            <w:vAlign w:val="top"/>
          </w:tcPr>
          <w:p>
            <w:pPr>
              <w:jc w:val="center"/>
              <w:rPr>
                <w:rFonts w:hint="eastAsia" w:ascii="仿宋" w:hAnsi="仿宋" w:cs="仿宋"/>
                <w:color w:val="auto"/>
                <w:szCs w:val="21"/>
                <w:highlight w:val="none"/>
              </w:rPr>
            </w:pPr>
            <w:r>
              <w:rPr>
                <w:rFonts w:hint="eastAsia" w:ascii="仿宋" w:hAnsi="仿宋" w:cs="仿宋"/>
                <w:color w:val="auto"/>
                <w:szCs w:val="21"/>
                <w:highlight w:val="none"/>
              </w:rPr>
              <w:t>项 目</w:t>
            </w:r>
          </w:p>
        </w:tc>
        <w:tc>
          <w:tcPr>
            <w:tcW w:w="2601" w:type="dxa"/>
            <w:noWrap w:val="0"/>
            <w:vAlign w:val="top"/>
          </w:tcPr>
          <w:p>
            <w:pPr>
              <w:jc w:val="center"/>
              <w:rPr>
                <w:rFonts w:hint="eastAsia" w:ascii="仿宋" w:hAnsi="仿宋" w:cs="仿宋"/>
                <w:color w:val="auto"/>
                <w:szCs w:val="21"/>
                <w:highlight w:val="none"/>
              </w:rPr>
            </w:pPr>
            <w:r>
              <w:rPr>
                <w:rFonts w:hint="eastAsia" w:ascii="仿宋" w:hAnsi="仿宋" w:cs="仿宋"/>
                <w:color w:val="auto"/>
                <w:szCs w:val="21"/>
                <w:highlight w:val="none"/>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5" w:type="dxa"/>
            <w:noWrap w:val="0"/>
            <w:vAlign w:val="top"/>
          </w:tcPr>
          <w:p>
            <w:pPr>
              <w:jc w:val="center"/>
              <w:rPr>
                <w:rFonts w:hint="eastAsia" w:ascii="仿宋" w:hAnsi="仿宋" w:cs="仿宋"/>
                <w:color w:val="auto"/>
                <w:szCs w:val="21"/>
                <w:highlight w:val="none"/>
              </w:rPr>
            </w:pPr>
            <w:r>
              <w:rPr>
                <w:rFonts w:hint="eastAsia" w:ascii="仿宋" w:hAnsi="仿宋" w:cs="仿宋"/>
                <w:color w:val="auto"/>
                <w:szCs w:val="21"/>
                <w:highlight w:val="none"/>
              </w:rPr>
              <w:t>有机质的质量分数(以烘干基计)，%</w:t>
            </w:r>
          </w:p>
        </w:tc>
        <w:tc>
          <w:tcPr>
            <w:tcW w:w="2601" w:type="dxa"/>
            <w:noWrap w:val="0"/>
            <w:vAlign w:val="top"/>
          </w:tcPr>
          <w:p>
            <w:pPr>
              <w:jc w:val="center"/>
              <w:rPr>
                <w:rFonts w:hint="eastAsia" w:ascii="仿宋" w:hAnsi="仿宋" w:cs="仿宋"/>
                <w:color w:val="auto"/>
                <w:szCs w:val="21"/>
                <w:highlight w:val="none"/>
              </w:rPr>
            </w:pPr>
            <w:r>
              <w:rPr>
                <w:rFonts w:hint="eastAsia" w:ascii="仿宋" w:hAnsi="仿宋" w:cs="仿宋"/>
                <w:color w:val="auto"/>
                <w:szCs w:val="21"/>
                <w:highlight w:val="none"/>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5" w:type="dxa"/>
            <w:noWrap w:val="0"/>
            <w:vAlign w:val="top"/>
          </w:tcPr>
          <w:p>
            <w:pPr>
              <w:jc w:val="center"/>
              <w:rPr>
                <w:rFonts w:hint="eastAsia" w:ascii="仿宋" w:hAnsi="仿宋" w:cs="仿宋"/>
                <w:color w:val="auto"/>
                <w:szCs w:val="21"/>
                <w:highlight w:val="none"/>
              </w:rPr>
            </w:pPr>
            <w:r>
              <w:rPr>
                <w:rFonts w:hint="eastAsia" w:ascii="仿宋" w:hAnsi="仿宋" w:cs="仿宋"/>
                <w:color w:val="auto"/>
                <w:szCs w:val="21"/>
                <w:highlight w:val="none"/>
              </w:rPr>
              <w:t>总养分(氮+五氧化二磷+氧化钾)的质量分数(以烘干基计)，%</w:t>
            </w:r>
          </w:p>
        </w:tc>
        <w:tc>
          <w:tcPr>
            <w:tcW w:w="2601" w:type="dxa"/>
            <w:noWrap w:val="0"/>
            <w:vAlign w:val="top"/>
          </w:tcPr>
          <w:p>
            <w:pPr>
              <w:jc w:val="center"/>
              <w:rPr>
                <w:rFonts w:hint="eastAsia" w:ascii="仿宋" w:hAnsi="仿宋" w:cs="仿宋"/>
                <w:color w:val="auto"/>
                <w:szCs w:val="21"/>
                <w:highlight w:val="none"/>
              </w:rPr>
            </w:pPr>
            <w:r>
              <w:rPr>
                <w:rFonts w:hint="eastAsia" w:ascii="仿宋" w:hAnsi="仿宋" w:cs="仿宋"/>
                <w:color w:val="auto"/>
                <w:szCs w:val="21"/>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5" w:type="dxa"/>
            <w:noWrap w:val="0"/>
            <w:vAlign w:val="top"/>
          </w:tcPr>
          <w:p>
            <w:pPr>
              <w:jc w:val="center"/>
              <w:rPr>
                <w:rFonts w:hint="eastAsia" w:ascii="仿宋" w:hAnsi="仿宋" w:cs="仿宋"/>
                <w:color w:val="auto"/>
                <w:szCs w:val="21"/>
                <w:highlight w:val="none"/>
              </w:rPr>
            </w:pPr>
            <w:r>
              <w:rPr>
                <w:rFonts w:hint="eastAsia" w:ascii="仿宋" w:hAnsi="仿宋" w:cs="仿宋"/>
                <w:color w:val="auto"/>
                <w:szCs w:val="21"/>
                <w:highlight w:val="none"/>
              </w:rPr>
              <w:t>水分(鲜样)的质量分数，%</w:t>
            </w:r>
          </w:p>
        </w:tc>
        <w:tc>
          <w:tcPr>
            <w:tcW w:w="2601" w:type="dxa"/>
            <w:noWrap w:val="0"/>
            <w:vAlign w:val="top"/>
          </w:tcPr>
          <w:p>
            <w:pPr>
              <w:jc w:val="center"/>
              <w:rPr>
                <w:rFonts w:hint="eastAsia" w:ascii="仿宋" w:hAnsi="仿宋" w:cs="仿宋"/>
                <w:color w:val="auto"/>
                <w:szCs w:val="21"/>
                <w:highlight w:val="none"/>
              </w:rPr>
            </w:pPr>
            <w:r>
              <w:rPr>
                <w:rFonts w:hint="eastAsia" w:ascii="仿宋" w:hAnsi="仿宋" w:cs="仿宋"/>
                <w:color w:val="auto"/>
                <w:szCs w:val="21"/>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5" w:type="dxa"/>
            <w:noWrap w:val="0"/>
            <w:vAlign w:val="top"/>
          </w:tcPr>
          <w:p>
            <w:pPr>
              <w:jc w:val="center"/>
              <w:rPr>
                <w:rFonts w:hint="eastAsia" w:ascii="仿宋" w:hAnsi="仿宋" w:cs="仿宋"/>
                <w:color w:val="auto"/>
                <w:szCs w:val="21"/>
                <w:highlight w:val="none"/>
              </w:rPr>
            </w:pPr>
            <w:r>
              <w:rPr>
                <w:rFonts w:hint="eastAsia" w:ascii="仿宋" w:hAnsi="仿宋" w:cs="仿宋"/>
                <w:color w:val="auto"/>
                <w:szCs w:val="21"/>
                <w:highlight w:val="none"/>
              </w:rPr>
              <w:t>酸碱度(pH)</w:t>
            </w:r>
          </w:p>
        </w:tc>
        <w:tc>
          <w:tcPr>
            <w:tcW w:w="2601" w:type="dxa"/>
            <w:noWrap w:val="0"/>
            <w:vAlign w:val="top"/>
          </w:tcPr>
          <w:p>
            <w:pPr>
              <w:jc w:val="center"/>
              <w:rPr>
                <w:rFonts w:hint="eastAsia" w:ascii="仿宋" w:hAnsi="仿宋" w:cs="仿宋"/>
                <w:color w:val="auto"/>
                <w:szCs w:val="21"/>
                <w:highlight w:val="none"/>
              </w:rPr>
            </w:pPr>
            <w:r>
              <w:rPr>
                <w:rFonts w:hint="eastAsia" w:ascii="仿宋" w:hAnsi="仿宋" w:cs="仿宋"/>
                <w:color w:val="auto"/>
                <w:szCs w:val="21"/>
                <w:highlight w:val="none"/>
              </w:rPr>
              <w:t>5.5～8.5</w:t>
            </w:r>
          </w:p>
        </w:tc>
      </w:tr>
    </w:tbl>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表2有机肥料中重金属限量指标要求   单位：mg/kg</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15"/>
        <w:gridCol w:w="2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5" w:type="dxa"/>
            <w:noWrap w:val="0"/>
            <w:vAlign w:val="top"/>
          </w:tcPr>
          <w:p>
            <w:pPr>
              <w:widowControl/>
              <w:jc w:val="center"/>
              <w:rPr>
                <w:rFonts w:hint="eastAsia" w:ascii="仿宋" w:hAnsi="仿宋" w:cs="仿宋"/>
                <w:color w:val="auto"/>
                <w:kern w:val="0"/>
                <w:szCs w:val="21"/>
                <w:highlight w:val="none"/>
                <w:lang w:bidi="ar"/>
              </w:rPr>
            </w:pPr>
            <w:r>
              <w:rPr>
                <w:rFonts w:hint="eastAsia" w:ascii="仿宋" w:hAnsi="仿宋" w:cs="仿宋"/>
                <w:color w:val="auto"/>
                <w:szCs w:val="21"/>
                <w:highlight w:val="none"/>
              </w:rPr>
              <w:t>项 目</w:t>
            </w:r>
          </w:p>
        </w:tc>
        <w:tc>
          <w:tcPr>
            <w:tcW w:w="2601" w:type="dxa"/>
            <w:noWrap w:val="0"/>
            <w:vAlign w:val="top"/>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限量指标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5" w:type="dxa"/>
            <w:noWrap w:val="0"/>
            <w:vAlign w:val="top"/>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总砷(As)(以烘干基计)</w:t>
            </w:r>
          </w:p>
        </w:tc>
        <w:tc>
          <w:tcPr>
            <w:tcW w:w="2601" w:type="dxa"/>
            <w:noWrap w:val="0"/>
            <w:vAlign w:val="top"/>
          </w:tcPr>
          <w:p>
            <w:pPr>
              <w:widowControl/>
              <w:jc w:val="center"/>
              <w:rPr>
                <w:rFonts w:hint="eastAsia" w:ascii="仿宋" w:hAnsi="仿宋" w:cs="仿宋"/>
                <w:color w:val="auto"/>
                <w:kern w:val="0"/>
                <w:szCs w:val="21"/>
                <w:highlight w:val="none"/>
                <w:lang w:bidi="ar"/>
              </w:rPr>
            </w:pPr>
            <w:r>
              <w:rPr>
                <w:rFonts w:hint="eastAsia" w:ascii="仿宋" w:hAnsi="仿宋" w:cs="仿宋"/>
                <w:color w:val="auto"/>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5" w:type="dxa"/>
            <w:noWrap w:val="0"/>
            <w:vAlign w:val="top"/>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总汞(Hg)(以烘干基计)</w:t>
            </w:r>
          </w:p>
        </w:tc>
        <w:tc>
          <w:tcPr>
            <w:tcW w:w="2601" w:type="dxa"/>
            <w:noWrap w:val="0"/>
            <w:vAlign w:val="top"/>
          </w:tcPr>
          <w:p>
            <w:pPr>
              <w:widowControl/>
              <w:jc w:val="center"/>
              <w:rPr>
                <w:rFonts w:hint="eastAsia" w:ascii="仿宋" w:hAnsi="仿宋" w:cs="仿宋"/>
                <w:color w:val="auto"/>
                <w:kern w:val="0"/>
                <w:szCs w:val="21"/>
                <w:highlight w:val="none"/>
                <w:lang w:bidi="ar"/>
              </w:rPr>
            </w:pPr>
            <w:r>
              <w:rPr>
                <w:rFonts w:hint="eastAsia" w:ascii="仿宋" w:hAnsi="仿宋" w:cs="仿宋"/>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5" w:type="dxa"/>
            <w:noWrap w:val="0"/>
            <w:vAlign w:val="top"/>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总铅(Pb)(以烘于基计)</w:t>
            </w:r>
          </w:p>
        </w:tc>
        <w:tc>
          <w:tcPr>
            <w:tcW w:w="2601" w:type="dxa"/>
            <w:noWrap w:val="0"/>
            <w:vAlign w:val="top"/>
          </w:tcPr>
          <w:p>
            <w:pPr>
              <w:widowControl/>
              <w:jc w:val="center"/>
              <w:rPr>
                <w:rFonts w:hint="eastAsia" w:ascii="仿宋" w:hAnsi="仿宋" w:cs="仿宋"/>
                <w:color w:val="auto"/>
                <w:kern w:val="0"/>
                <w:szCs w:val="21"/>
                <w:highlight w:val="none"/>
                <w:lang w:bidi="ar"/>
              </w:rPr>
            </w:pPr>
            <w:r>
              <w:rPr>
                <w:rFonts w:hint="eastAsia" w:ascii="仿宋" w:hAnsi="仿宋" w:cs="仿宋"/>
                <w:color w:val="auto"/>
                <w:szCs w:val="21"/>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5" w:type="dxa"/>
            <w:noWrap w:val="0"/>
            <w:vAlign w:val="top"/>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总镉(Cd)(以烘干基计)</w:t>
            </w:r>
          </w:p>
        </w:tc>
        <w:tc>
          <w:tcPr>
            <w:tcW w:w="2601" w:type="dxa"/>
            <w:noWrap w:val="0"/>
            <w:vAlign w:val="top"/>
          </w:tcPr>
          <w:p>
            <w:pPr>
              <w:widowControl/>
              <w:jc w:val="center"/>
              <w:rPr>
                <w:rFonts w:hint="eastAsia" w:ascii="仿宋" w:hAnsi="仿宋" w:cs="仿宋"/>
                <w:color w:val="auto"/>
                <w:kern w:val="0"/>
                <w:szCs w:val="21"/>
                <w:highlight w:val="none"/>
                <w:lang w:bidi="ar"/>
              </w:rPr>
            </w:pPr>
            <w:r>
              <w:rPr>
                <w:rFonts w:hint="eastAsia" w:ascii="仿宋" w:hAnsi="仿宋" w:cs="仿宋"/>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5" w:type="dxa"/>
            <w:noWrap w:val="0"/>
            <w:vAlign w:val="top"/>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总铬(Cr)(以烘干基计)</w:t>
            </w:r>
          </w:p>
        </w:tc>
        <w:tc>
          <w:tcPr>
            <w:tcW w:w="2601" w:type="dxa"/>
            <w:noWrap w:val="0"/>
            <w:vAlign w:val="top"/>
          </w:tcPr>
          <w:p>
            <w:pPr>
              <w:widowControl/>
              <w:jc w:val="center"/>
              <w:rPr>
                <w:rFonts w:hint="eastAsia" w:ascii="仿宋" w:hAnsi="仿宋" w:cs="仿宋"/>
                <w:color w:val="auto"/>
                <w:kern w:val="0"/>
                <w:szCs w:val="21"/>
                <w:highlight w:val="none"/>
                <w:lang w:bidi="ar"/>
              </w:rPr>
            </w:pPr>
            <w:r>
              <w:rPr>
                <w:rFonts w:hint="eastAsia" w:ascii="仿宋" w:hAnsi="仿宋" w:cs="仿宋"/>
                <w:color w:val="auto"/>
                <w:szCs w:val="21"/>
                <w:highlight w:val="none"/>
              </w:rPr>
              <w:t>≤150</w:t>
            </w:r>
          </w:p>
        </w:tc>
      </w:tr>
    </w:tbl>
    <w:p>
      <w:pPr>
        <w:widowControl/>
        <w:jc w:val="left"/>
        <w:rPr>
          <w:rFonts w:hint="eastAsia" w:ascii="仿宋" w:hAnsi="仿宋" w:cs="仿宋"/>
          <w:b/>
          <w:bCs/>
          <w:color w:val="auto"/>
          <w:kern w:val="0"/>
          <w:szCs w:val="21"/>
          <w:highlight w:val="none"/>
          <w:lang w:bidi="ar"/>
        </w:rPr>
      </w:pPr>
      <w:r>
        <w:rPr>
          <w:rFonts w:hint="eastAsia" w:ascii="仿宋" w:hAnsi="仿宋" w:cs="仿宋"/>
          <w:b/>
          <w:color w:val="auto"/>
          <w:sz w:val="18"/>
          <w:szCs w:val="18"/>
          <w:highlight w:val="none"/>
        </w:rPr>
        <w:t>★</w:t>
      </w:r>
      <w:r>
        <w:rPr>
          <w:rFonts w:hint="eastAsia" w:ascii="仿宋" w:hAnsi="仿宋" w:cs="仿宋"/>
          <w:b/>
          <w:bCs/>
          <w:color w:val="auto"/>
          <w:kern w:val="0"/>
          <w:szCs w:val="21"/>
          <w:highlight w:val="none"/>
          <w:lang w:bidi="ar"/>
        </w:rPr>
        <w:t>二、项目实施要求</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实施时使用施肥机进行施肥，将生物有机肥按0.2t/亩的标准均匀施撒于耕地表面，并及时利用</w:t>
      </w:r>
      <w:r>
        <w:rPr>
          <w:rFonts w:hint="eastAsia" w:ascii="仿宋" w:hAnsi="仿宋" w:cs="仿宋"/>
          <w:color w:val="auto"/>
          <w:szCs w:val="21"/>
          <w:highlight w:val="none"/>
        </w:rPr>
        <w:t>配置带GPS和计量计</w:t>
      </w:r>
      <w:r>
        <w:rPr>
          <w:rFonts w:hint="eastAsia" w:ascii="仿宋" w:hAnsi="仿宋" w:cs="仿宋"/>
          <w:color w:val="auto"/>
          <w:kern w:val="0"/>
          <w:szCs w:val="21"/>
          <w:highlight w:val="none"/>
          <w:lang w:bidi="ar"/>
        </w:rPr>
        <w:t>记录设备</w:t>
      </w:r>
      <w:r>
        <w:rPr>
          <w:rFonts w:hint="eastAsia" w:ascii="仿宋" w:hAnsi="仿宋" w:cs="仿宋"/>
          <w:color w:val="auto"/>
          <w:szCs w:val="21"/>
          <w:highlight w:val="none"/>
        </w:rPr>
        <w:t>的</w:t>
      </w:r>
      <w:r>
        <w:rPr>
          <w:rFonts w:hint="eastAsia" w:ascii="仿宋" w:hAnsi="仿宋" w:cs="仿宋"/>
          <w:color w:val="auto"/>
          <w:kern w:val="0"/>
          <w:szCs w:val="21"/>
          <w:highlight w:val="none"/>
          <w:lang w:bidi="ar"/>
        </w:rPr>
        <w:t>大型农机进行肥料抛洒。</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中标人提供大型专业的市场最先进的肥料抛洒设备，根据当地的农艺要求和机具性能选用喷福在5—15米范围内，作业速度在每小时40—60亩范围，作业机具要年轻化，不要老旧，作业质量好、肥料抛洒均匀，肥料抛洒过后重喷或漏喷现象不要超过总面积的10%，喷洒量、GPS轨迹、喷洒区域符合本项目要求，如果需多种肥料，搅和时须严格按照科学配比控制，不允许堆拌，设计区域范围内必须采用机械喷洒。</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深松整地作业模式：拖拉机带动单一深松功能的深松机具进行作业，作业深度一般要求超过25cm，拖拉机动力一般要求在80马力以上。</w:t>
      </w:r>
    </w:p>
    <w:tbl>
      <w:tblPr>
        <w:tblStyle w:val="14"/>
        <w:tblW w:w="8322" w:type="dxa"/>
        <w:tblInd w:w="93" w:type="dxa"/>
        <w:tblLayout w:type="fixed"/>
        <w:tblCellMar>
          <w:top w:w="0" w:type="dxa"/>
          <w:left w:w="108" w:type="dxa"/>
          <w:bottom w:w="0" w:type="dxa"/>
          <w:right w:w="108" w:type="dxa"/>
        </w:tblCellMar>
      </w:tblPr>
      <w:tblGrid>
        <w:gridCol w:w="2008"/>
        <w:gridCol w:w="3189"/>
        <w:gridCol w:w="1800"/>
        <w:gridCol w:w="1325"/>
      </w:tblGrid>
      <w:tr>
        <w:tblPrEx>
          <w:tblCellMar>
            <w:top w:w="0" w:type="dxa"/>
            <w:left w:w="108" w:type="dxa"/>
            <w:bottom w:w="0" w:type="dxa"/>
            <w:right w:w="108" w:type="dxa"/>
          </w:tblCellMar>
        </w:tblPrEx>
        <w:trPr>
          <w:trHeight w:val="472" w:hRule="atLeast"/>
        </w:trPr>
        <w:tc>
          <w:tcPr>
            <w:tcW w:w="20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包号</w:t>
            </w:r>
          </w:p>
        </w:tc>
        <w:tc>
          <w:tcPr>
            <w:tcW w:w="31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村名</w:t>
            </w:r>
          </w:p>
        </w:tc>
        <w:tc>
          <w:tcPr>
            <w:tcW w:w="180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数量</w:t>
            </w:r>
          </w:p>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(亩)</w:t>
            </w:r>
          </w:p>
        </w:tc>
        <w:tc>
          <w:tcPr>
            <w:tcW w:w="132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施用标准数量</w:t>
            </w:r>
          </w:p>
        </w:tc>
      </w:tr>
      <w:tr>
        <w:tblPrEx>
          <w:tblCellMar>
            <w:top w:w="0" w:type="dxa"/>
            <w:left w:w="108" w:type="dxa"/>
            <w:bottom w:w="0" w:type="dxa"/>
            <w:right w:w="108" w:type="dxa"/>
          </w:tblCellMar>
        </w:tblPrEx>
        <w:trPr>
          <w:trHeight w:val="320" w:hRule="atLeast"/>
        </w:trPr>
        <w:tc>
          <w:tcPr>
            <w:tcW w:w="200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002包</w:t>
            </w:r>
          </w:p>
        </w:tc>
        <w:tc>
          <w:tcPr>
            <w:tcW w:w="31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葫芦峪村</w:t>
            </w:r>
          </w:p>
        </w:tc>
        <w:tc>
          <w:tcPr>
            <w:tcW w:w="18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2347</w:t>
            </w:r>
          </w:p>
        </w:tc>
        <w:tc>
          <w:tcPr>
            <w:tcW w:w="132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szCs w:val="21"/>
                <w:highlight w:val="none"/>
              </w:rPr>
              <w:t>0.2t/亩</w:t>
            </w:r>
          </w:p>
        </w:tc>
      </w:tr>
      <w:tr>
        <w:tblPrEx>
          <w:tblCellMar>
            <w:top w:w="0" w:type="dxa"/>
            <w:left w:w="108" w:type="dxa"/>
            <w:bottom w:w="0" w:type="dxa"/>
            <w:right w:w="108" w:type="dxa"/>
          </w:tblCellMar>
        </w:tblPrEx>
        <w:trPr>
          <w:trHeight w:val="320" w:hRule="atLeast"/>
        </w:trPr>
        <w:tc>
          <w:tcPr>
            <w:tcW w:w="2008" w:type="dxa"/>
            <w:vMerge w:val="continue"/>
            <w:tcBorders>
              <w:top w:val="single" w:color="auto" w:sz="4" w:space="0"/>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318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曹家堡村</w:t>
            </w:r>
          </w:p>
        </w:tc>
        <w:tc>
          <w:tcPr>
            <w:tcW w:w="1800" w:type="dxa"/>
            <w:tcBorders>
              <w:top w:val="single" w:color="auto"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695</w:t>
            </w:r>
          </w:p>
        </w:tc>
        <w:tc>
          <w:tcPr>
            <w:tcW w:w="1325" w:type="dxa"/>
            <w:vMerge w:val="continue"/>
            <w:tcBorders>
              <w:top w:val="single" w:color="auto" w:sz="4" w:space="0"/>
              <w:left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2008"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318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南毛村</w:t>
            </w:r>
          </w:p>
        </w:tc>
        <w:tc>
          <w:tcPr>
            <w:tcW w:w="180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1794</w:t>
            </w:r>
          </w:p>
        </w:tc>
        <w:tc>
          <w:tcPr>
            <w:tcW w:w="1325" w:type="dxa"/>
            <w:vMerge w:val="continue"/>
            <w:tcBorders>
              <w:left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2008"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3189"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小计</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4836</w:t>
            </w:r>
          </w:p>
        </w:tc>
        <w:tc>
          <w:tcPr>
            <w:tcW w:w="1325" w:type="dxa"/>
            <w:vMerge w:val="continue"/>
            <w:tcBorders>
              <w:left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2008"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31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小河村</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2355</w:t>
            </w:r>
          </w:p>
        </w:tc>
        <w:tc>
          <w:tcPr>
            <w:tcW w:w="1325" w:type="dxa"/>
            <w:vMerge w:val="continue"/>
            <w:tcBorders>
              <w:left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2008"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31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北毛村</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1996</w:t>
            </w:r>
          </w:p>
        </w:tc>
        <w:tc>
          <w:tcPr>
            <w:tcW w:w="1325" w:type="dxa"/>
            <w:vMerge w:val="continue"/>
            <w:tcBorders>
              <w:left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2008"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31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付家沟村</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3013</w:t>
            </w:r>
          </w:p>
        </w:tc>
        <w:tc>
          <w:tcPr>
            <w:tcW w:w="1325" w:type="dxa"/>
            <w:vMerge w:val="continue"/>
            <w:tcBorders>
              <w:left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2008"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31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小计</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7364</w:t>
            </w:r>
          </w:p>
        </w:tc>
        <w:tc>
          <w:tcPr>
            <w:tcW w:w="1325" w:type="dxa"/>
            <w:vMerge w:val="continue"/>
            <w:tcBorders>
              <w:left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2008"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31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西柳镇西柳村</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1255</w:t>
            </w:r>
          </w:p>
        </w:tc>
        <w:tc>
          <w:tcPr>
            <w:tcW w:w="1325" w:type="dxa"/>
            <w:vMerge w:val="continue"/>
            <w:tcBorders>
              <w:left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2008"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31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西柳镇东柳村</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1045</w:t>
            </w:r>
          </w:p>
        </w:tc>
        <w:tc>
          <w:tcPr>
            <w:tcW w:w="1325" w:type="dxa"/>
            <w:vMerge w:val="continue"/>
            <w:tcBorders>
              <w:left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2008"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31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兴海街道三里社区</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950</w:t>
            </w:r>
          </w:p>
        </w:tc>
        <w:tc>
          <w:tcPr>
            <w:tcW w:w="1325" w:type="dxa"/>
            <w:vMerge w:val="continue"/>
            <w:tcBorders>
              <w:left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2008"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31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兴海街道后力社区</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1050</w:t>
            </w:r>
          </w:p>
        </w:tc>
        <w:tc>
          <w:tcPr>
            <w:tcW w:w="1325" w:type="dxa"/>
            <w:vMerge w:val="continue"/>
            <w:tcBorders>
              <w:left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2008" w:type="dxa"/>
            <w:vMerge w:val="continue"/>
            <w:tcBorders>
              <w:left w:val="single" w:color="auto"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3189"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小计</w:t>
            </w:r>
          </w:p>
        </w:tc>
        <w:tc>
          <w:tcPr>
            <w:tcW w:w="180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4300</w:t>
            </w:r>
          </w:p>
        </w:tc>
        <w:tc>
          <w:tcPr>
            <w:tcW w:w="1325" w:type="dxa"/>
            <w:vMerge w:val="continue"/>
            <w:tcBorders>
              <w:left w:val="single" w:color="auto"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r>
        <w:tblPrEx>
          <w:tblCellMar>
            <w:top w:w="0" w:type="dxa"/>
            <w:left w:w="108" w:type="dxa"/>
            <w:bottom w:w="0" w:type="dxa"/>
            <w:right w:w="108" w:type="dxa"/>
          </w:tblCellMar>
        </w:tblPrEx>
        <w:trPr>
          <w:trHeight w:val="320" w:hRule="atLeast"/>
        </w:trPr>
        <w:tc>
          <w:tcPr>
            <w:tcW w:w="2008" w:type="dxa"/>
            <w:vMerge w:val="continue"/>
            <w:tcBorders>
              <w:left w:val="single" w:color="auto" w:sz="4" w:space="0"/>
              <w:bottom w:val="single" w:color="000000" w:sz="4" w:space="0"/>
              <w:right w:val="single" w:color="auto" w:sz="4" w:space="0"/>
            </w:tcBorders>
            <w:noWrap/>
            <w:vAlign w:val="center"/>
          </w:tcPr>
          <w:p>
            <w:pPr>
              <w:jc w:val="center"/>
              <w:rPr>
                <w:rFonts w:hint="eastAsia" w:ascii="仿宋" w:hAnsi="仿宋" w:cs="仿宋"/>
                <w:color w:val="auto"/>
                <w:kern w:val="0"/>
                <w:szCs w:val="21"/>
                <w:highlight w:val="none"/>
                <w:lang w:bidi="ar"/>
              </w:rPr>
            </w:pPr>
          </w:p>
        </w:tc>
        <w:tc>
          <w:tcPr>
            <w:tcW w:w="3189"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合计</w:t>
            </w:r>
          </w:p>
        </w:tc>
        <w:tc>
          <w:tcPr>
            <w:tcW w:w="180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16500</w:t>
            </w:r>
          </w:p>
        </w:tc>
        <w:tc>
          <w:tcPr>
            <w:tcW w:w="1325" w:type="dxa"/>
            <w:vMerge w:val="continue"/>
            <w:tcBorders>
              <w:left w:val="single" w:color="auto" w:sz="4" w:space="0"/>
              <w:bottom w:val="single" w:color="000000" w:sz="4" w:space="0"/>
              <w:right w:val="single" w:color="auto" w:sz="4" w:space="0"/>
            </w:tcBorders>
            <w:noWrap/>
            <w:vAlign w:val="center"/>
          </w:tcPr>
          <w:p>
            <w:pPr>
              <w:widowControl/>
              <w:jc w:val="center"/>
              <w:textAlignment w:val="center"/>
              <w:rPr>
                <w:rFonts w:hint="eastAsia" w:ascii="仿宋" w:hAnsi="仿宋" w:cs="仿宋"/>
                <w:color w:val="auto"/>
                <w:kern w:val="0"/>
                <w:szCs w:val="21"/>
                <w:highlight w:val="none"/>
                <w:lang w:bidi="ar"/>
              </w:rPr>
            </w:pPr>
          </w:p>
        </w:tc>
      </w:tr>
    </w:tbl>
    <w:p>
      <w:pPr>
        <w:widowControl/>
        <w:jc w:val="left"/>
        <w:rPr>
          <w:rFonts w:hint="eastAsia" w:ascii="仿宋" w:hAnsi="仿宋" w:cs="仿宋"/>
          <w:b/>
          <w:bCs/>
          <w:color w:val="auto"/>
          <w:kern w:val="0"/>
          <w:szCs w:val="21"/>
          <w:highlight w:val="none"/>
          <w:lang w:bidi="ar"/>
        </w:rPr>
      </w:pPr>
      <w:r>
        <w:rPr>
          <w:rFonts w:hint="eastAsia" w:ascii="仿宋" w:hAnsi="仿宋" w:cs="仿宋"/>
          <w:b/>
          <w:color w:val="auto"/>
          <w:sz w:val="18"/>
          <w:szCs w:val="18"/>
          <w:highlight w:val="none"/>
        </w:rPr>
        <w:t>★</w:t>
      </w:r>
      <w:r>
        <w:rPr>
          <w:rFonts w:hint="eastAsia" w:ascii="仿宋" w:hAnsi="仿宋" w:cs="仿宋"/>
          <w:b/>
          <w:bCs/>
          <w:color w:val="auto"/>
          <w:kern w:val="0"/>
          <w:szCs w:val="21"/>
          <w:highlight w:val="none"/>
          <w:lang w:bidi="ar"/>
        </w:rPr>
        <w:t>三、检测要求</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（1）检测内容</w:t>
      </w:r>
    </w:p>
    <w:p>
      <w:pPr>
        <w:widowControl/>
        <w:ind w:firstLine="630" w:firstLineChars="3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检测点位：本项目施肥前（上批粮食作物收割后）肥料运输到达采购人指定地点后，采购人将对肥料进行随机抽样检测，并对供货肥料与投标文件中所报肥料信息等进行对比。本项目所有肥料施撒完成后,采购人将在项目涉及的36000亩范围内随机抽样检测。采样时，一要避开路边、地头、田埂、沟边、肥堆点、根茬点、局部特殊地形等特殊部位；二要按照“等量”和“多点混合”的原则，在采样田块按“S”型或棋盘布点等方法布设采集5个以上分样点混合均匀后，再采用“四分法”留存土壤样品；三要在采样后注意挑出根系、秸秆、石块、虫体等杂物，以免给土壤检测带来误差。并测量出样点坐标（2000国家大地坐标系），标出其平面坐标及检测点位分布图；</w:t>
      </w:r>
    </w:p>
    <w:p>
      <w:pPr>
        <w:widowControl/>
        <w:ind w:firstLine="630" w:firstLineChars="3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2）检测项目：检测点土壤中的ph值、有机质含量、有效磷、缓效钾、速效钾、全氮共计6项；</w:t>
      </w:r>
    </w:p>
    <w:p>
      <w:pPr>
        <w:widowControl/>
        <w:ind w:firstLine="630" w:firstLineChars="3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3）检测时间和频次：施肥前（上批粮食作物收割后）随机抽样检测一次，施肥后（下批粮食作物种植前）随机抽样检测一次，共计两次。</w:t>
      </w:r>
    </w:p>
    <w:p>
      <w:pPr>
        <w:widowControl/>
        <w:ind w:firstLine="630" w:firstLineChars="3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4）检测方法及仪器设备</w:t>
      </w:r>
    </w:p>
    <w:tbl>
      <w:tblPr>
        <w:tblStyle w:val="14"/>
        <w:tblW w:w="5082" w:type="pct"/>
        <w:tblInd w:w="0" w:type="dxa"/>
        <w:tblLayout w:type="fixed"/>
        <w:tblCellMar>
          <w:top w:w="0" w:type="dxa"/>
          <w:left w:w="108" w:type="dxa"/>
          <w:bottom w:w="0" w:type="dxa"/>
          <w:right w:w="108" w:type="dxa"/>
        </w:tblCellMar>
      </w:tblPr>
      <w:tblGrid>
        <w:gridCol w:w="579"/>
        <w:gridCol w:w="1009"/>
        <w:gridCol w:w="5377"/>
        <w:gridCol w:w="1691"/>
      </w:tblGrid>
      <w:tr>
        <w:tblPrEx>
          <w:tblCellMar>
            <w:top w:w="0" w:type="dxa"/>
            <w:left w:w="108" w:type="dxa"/>
            <w:bottom w:w="0" w:type="dxa"/>
            <w:right w:w="108" w:type="dxa"/>
          </w:tblCellMar>
        </w:tblPrEx>
        <w:trPr>
          <w:trHeight w:val="270" w:hRule="atLeast"/>
          <w:tblHeader/>
        </w:trPr>
        <w:tc>
          <w:tcPr>
            <w:tcW w:w="334"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序号</w:t>
            </w:r>
          </w:p>
        </w:tc>
        <w:tc>
          <w:tcPr>
            <w:tcW w:w="58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检测项目</w:t>
            </w:r>
          </w:p>
        </w:tc>
        <w:tc>
          <w:tcPr>
            <w:tcW w:w="310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分析方法</w:t>
            </w:r>
          </w:p>
        </w:tc>
        <w:tc>
          <w:tcPr>
            <w:tcW w:w="97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分析仪器</w:t>
            </w:r>
          </w:p>
        </w:tc>
      </w:tr>
      <w:tr>
        <w:tblPrEx>
          <w:tblCellMar>
            <w:top w:w="0" w:type="dxa"/>
            <w:left w:w="108" w:type="dxa"/>
            <w:bottom w:w="0" w:type="dxa"/>
            <w:right w:w="108" w:type="dxa"/>
          </w:tblCellMar>
        </w:tblPrEx>
        <w:trPr>
          <w:trHeight w:val="90" w:hRule="atLeast"/>
        </w:trPr>
        <w:tc>
          <w:tcPr>
            <w:tcW w:w="334"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w:t>
            </w:r>
          </w:p>
        </w:tc>
        <w:tc>
          <w:tcPr>
            <w:tcW w:w="582" w:type="pct"/>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PH</w:t>
            </w:r>
          </w:p>
        </w:tc>
        <w:tc>
          <w:tcPr>
            <w:tcW w:w="3105"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土壤检测 第2部分：土壤pH的测定（NY/T 1121.2-2006）</w:t>
            </w:r>
          </w:p>
        </w:tc>
        <w:tc>
          <w:tcPr>
            <w:tcW w:w="977" w:type="pct"/>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PH计</w:t>
            </w:r>
          </w:p>
        </w:tc>
      </w:tr>
      <w:tr>
        <w:tblPrEx>
          <w:tblCellMar>
            <w:top w:w="0" w:type="dxa"/>
            <w:left w:w="108" w:type="dxa"/>
            <w:bottom w:w="0" w:type="dxa"/>
            <w:right w:w="108" w:type="dxa"/>
          </w:tblCellMar>
        </w:tblPrEx>
        <w:trPr>
          <w:trHeight w:val="294" w:hRule="atLeast"/>
        </w:trPr>
        <w:tc>
          <w:tcPr>
            <w:tcW w:w="334" w:type="pct"/>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w:t>
            </w:r>
          </w:p>
        </w:tc>
        <w:tc>
          <w:tcPr>
            <w:tcW w:w="582"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有机质</w:t>
            </w:r>
          </w:p>
        </w:tc>
        <w:tc>
          <w:tcPr>
            <w:tcW w:w="3105" w:type="pct"/>
            <w:tcBorders>
              <w:top w:val="nil"/>
              <w:left w:val="nil"/>
              <w:bottom w:val="single" w:color="auto" w:sz="4" w:space="0"/>
              <w:right w:val="single" w:color="auto" w:sz="4" w:space="0"/>
            </w:tcBorders>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土壤检测 第6部分：土壤有机质的测定（NY/T 1121.6-2006）</w:t>
            </w:r>
          </w:p>
        </w:tc>
        <w:tc>
          <w:tcPr>
            <w:tcW w:w="977"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数字瓶口滴定器</w:t>
            </w:r>
          </w:p>
        </w:tc>
      </w:tr>
      <w:tr>
        <w:tblPrEx>
          <w:tblCellMar>
            <w:top w:w="0" w:type="dxa"/>
            <w:left w:w="108" w:type="dxa"/>
            <w:bottom w:w="0" w:type="dxa"/>
            <w:right w:w="108" w:type="dxa"/>
          </w:tblCellMar>
        </w:tblPrEx>
        <w:trPr>
          <w:trHeight w:val="234" w:hRule="atLeast"/>
        </w:trPr>
        <w:tc>
          <w:tcPr>
            <w:tcW w:w="334" w:type="pct"/>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3</w:t>
            </w:r>
          </w:p>
        </w:tc>
        <w:tc>
          <w:tcPr>
            <w:tcW w:w="582"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有效磷</w:t>
            </w:r>
          </w:p>
        </w:tc>
        <w:tc>
          <w:tcPr>
            <w:tcW w:w="3105" w:type="pct"/>
            <w:tcBorders>
              <w:top w:val="nil"/>
              <w:left w:val="nil"/>
              <w:bottom w:val="single" w:color="auto" w:sz="4" w:space="0"/>
              <w:right w:val="single" w:color="auto" w:sz="4" w:space="0"/>
            </w:tcBorders>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土壤检测 第7部分：土壤有效磷的测定（NY/T 1121.7-2014）</w:t>
            </w:r>
          </w:p>
        </w:tc>
        <w:tc>
          <w:tcPr>
            <w:tcW w:w="977"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紫外分光光度计</w:t>
            </w:r>
          </w:p>
        </w:tc>
      </w:tr>
      <w:tr>
        <w:tblPrEx>
          <w:tblCellMar>
            <w:top w:w="0" w:type="dxa"/>
            <w:left w:w="108" w:type="dxa"/>
            <w:bottom w:w="0" w:type="dxa"/>
            <w:right w:w="108" w:type="dxa"/>
          </w:tblCellMar>
        </w:tblPrEx>
        <w:trPr>
          <w:trHeight w:val="335" w:hRule="atLeast"/>
        </w:trPr>
        <w:tc>
          <w:tcPr>
            <w:tcW w:w="334" w:type="pct"/>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4</w:t>
            </w:r>
          </w:p>
        </w:tc>
        <w:tc>
          <w:tcPr>
            <w:tcW w:w="582"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缓效钾</w:t>
            </w:r>
          </w:p>
        </w:tc>
        <w:tc>
          <w:tcPr>
            <w:tcW w:w="3105" w:type="pct"/>
            <w:tcBorders>
              <w:top w:val="nil"/>
              <w:left w:val="nil"/>
              <w:bottom w:val="single" w:color="auto" w:sz="4" w:space="0"/>
              <w:right w:val="single" w:color="auto" w:sz="4" w:space="0"/>
            </w:tcBorders>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土壤速效钾和缓效钾含量的测定(NY/T 889-2004)</w:t>
            </w:r>
          </w:p>
        </w:tc>
        <w:tc>
          <w:tcPr>
            <w:tcW w:w="977"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火焰光度计</w:t>
            </w:r>
          </w:p>
        </w:tc>
      </w:tr>
      <w:tr>
        <w:tblPrEx>
          <w:tblCellMar>
            <w:top w:w="0" w:type="dxa"/>
            <w:left w:w="108" w:type="dxa"/>
            <w:bottom w:w="0" w:type="dxa"/>
            <w:right w:w="108" w:type="dxa"/>
          </w:tblCellMar>
        </w:tblPrEx>
        <w:trPr>
          <w:trHeight w:val="335" w:hRule="atLeast"/>
        </w:trPr>
        <w:tc>
          <w:tcPr>
            <w:tcW w:w="334" w:type="pct"/>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5</w:t>
            </w:r>
          </w:p>
        </w:tc>
        <w:tc>
          <w:tcPr>
            <w:tcW w:w="582"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速效钾</w:t>
            </w:r>
          </w:p>
        </w:tc>
        <w:tc>
          <w:tcPr>
            <w:tcW w:w="3105" w:type="pct"/>
            <w:tcBorders>
              <w:top w:val="nil"/>
              <w:left w:val="nil"/>
              <w:bottom w:val="single" w:color="auto" w:sz="4" w:space="0"/>
              <w:right w:val="single" w:color="auto" w:sz="4" w:space="0"/>
            </w:tcBorders>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土壤速效钾和缓效钾含量的测定(NY/T 889-2004)</w:t>
            </w:r>
          </w:p>
        </w:tc>
        <w:tc>
          <w:tcPr>
            <w:tcW w:w="977"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火焰光度计</w:t>
            </w:r>
          </w:p>
        </w:tc>
      </w:tr>
      <w:tr>
        <w:tblPrEx>
          <w:tblCellMar>
            <w:top w:w="0" w:type="dxa"/>
            <w:left w:w="108" w:type="dxa"/>
            <w:bottom w:w="0" w:type="dxa"/>
            <w:right w:w="108" w:type="dxa"/>
          </w:tblCellMar>
        </w:tblPrEx>
        <w:trPr>
          <w:trHeight w:val="472" w:hRule="atLeast"/>
        </w:trPr>
        <w:tc>
          <w:tcPr>
            <w:tcW w:w="334" w:type="pct"/>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6</w:t>
            </w:r>
          </w:p>
        </w:tc>
        <w:tc>
          <w:tcPr>
            <w:tcW w:w="582"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全氮</w:t>
            </w:r>
          </w:p>
        </w:tc>
        <w:tc>
          <w:tcPr>
            <w:tcW w:w="3105" w:type="pct"/>
            <w:tcBorders>
              <w:top w:val="nil"/>
              <w:left w:val="nil"/>
              <w:bottom w:val="single" w:color="auto" w:sz="4" w:space="0"/>
              <w:right w:val="single" w:color="auto" w:sz="4" w:space="0"/>
            </w:tcBorders>
            <w:noWrap w:val="0"/>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土壤检测 第24部分：土壤全氮的测定自动定氮仪法（NY/T1121.24-2012）</w:t>
            </w:r>
          </w:p>
        </w:tc>
        <w:tc>
          <w:tcPr>
            <w:tcW w:w="977" w:type="pct"/>
            <w:tcBorders>
              <w:top w:val="nil"/>
              <w:left w:val="nil"/>
              <w:bottom w:val="single" w:color="auto" w:sz="4" w:space="0"/>
              <w:right w:val="single" w:color="auto" w:sz="4" w:space="0"/>
            </w:tcBorders>
            <w:noWrap/>
            <w:vAlign w:val="center"/>
          </w:tcPr>
          <w:p>
            <w:pPr>
              <w:widowControl/>
              <w:jc w:val="center"/>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全自动定氮仪</w:t>
            </w:r>
          </w:p>
        </w:tc>
      </w:tr>
    </w:tbl>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（2）成果提交</w:t>
      </w:r>
    </w:p>
    <w:p>
      <w:pPr>
        <w:widowControl/>
        <w:ind w:firstLine="630" w:firstLineChars="3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1）带有CMA资质认可的检测报告及过程的质控报告。</w:t>
      </w:r>
    </w:p>
    <w:p>
      <w:pPr>
        <w:widowControl/>
        <w:ind w:firstLine="630" w:firstLineChars="3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2）综合分析报告，（包含施肥前后检测指标的变化，谱图分析、图片材料等）。</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（3）检测其他要求</w:t>
      </w:r>
    </w:p>
    <w:p>
      <w:pPr>
        <w:widowControl/>
        <w:ind w:firstLine="630" w:firstLineChars="3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1）检测所发生的全部费用由中标人支付。</w:t>
      </w:r>
    </w:p>
    <w:p>
      <w:pPr>
        <w:widowControl/>
        <w:ind w:firstLine="630" w:firstLineChars="3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2）检测全过程（包括但不限于取样、送检、检测及检测机构等）无需中标人接触。</w:t>
      </w:r>
    </w:p>
    <w:p>
      <w:pPr>
        <w:widowControl/>
        <w:jc w:val="left"/>
        <w:rPr>
          <w:rFonts w:hint="eastAsia" w:ascii="仿宋" w:hAnsi="仿宋" w:cs="仿宋"/>
          <w:b/>
          <w:bCs/>
          <w:color w:val="auto"/>
          <w:kern w:val="0"/>
          <w:szCs w:val="21"/>
          <w:highlight w:val="none"/>
          <w:lang w:bidi="ar"/>
        </w:rPr>
      </w:pPr>
      <w:r>
        <w:rPr>
          <w:rFonts w:hint="eastAsia" w:ascii="仿宋" w:hAnsi="仿宋" w:cs="仿宋"/>
          <w:b/>
          <w:color w:val="auto"/>
          <w:sz w:val="18"/>
          <w:szCs w:val="18"/>
          <w:highlight w:val="none"/>
        </w:rPr>
        <w:t>★</w:t>
      </w:r>
      <w:r>
        <w:rPr>
          <w:rFonts w:hint="eastAsia" w:ascii="仿宋" w:hAnsi="仿宋" w:cs="仿宋"/>
          <w:b/>
          <w:bCs/>
          <w:color w:val="auto"/>
          <w:kern w:val="0"/>
          <w:szCs w:val="21"/>
          <w:highlight w:val="none"/>
          <w:lang w:bidi="ar"/>
        </w:rPr>
        <w:t>四、售后服务要求</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中标人应保证在供货时所提供产品均为质量合格产品新产品，质量符合国家承认的相应标准，同时产品的包装、标签、说明书等符合国家有关规定；供货时，提供与所供批次产品金额相对应的发票原件，并保证与投标文件中承诺的产品质量、产品名称、品牌、型号、规格、数量、原产地、制造商名称相一致，以确保现场使用安全有效，不存在非法转包的情况。否则，采购人有权单方面解除合同，货款不予支付。如给采购人造成损失，损失部分由中标人承担。</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2、如因中标人所供产品质量问题或抽样检测不合格，所导致所产生的赔偿责任等所有责任全部由中标人直接承担，给采购人造成损失的，损失部分由中标人承担，采购人可单方面解除合同，货款不予支付。</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3、产品在使用过程中出现问题，提供7×24小时电话技术支持，技术服务人员到达现场响应时间为4小时内，并于6小时内解决，特殊情况在24小时内无法解决的，应采取应急措施正常使用。</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4、中标人应安排技术服务人员现场施撒服务，对验收时发现的破损、近效期产品或其它不符合标准的产品，采购人有权拒收，中标人应在7日内负责无条件更换同类新的产品；因乙方储存不当造成的质量损坏及损失，采购人不负责任，由中标人自行解决并承担责任。</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5、施撒服务具体要求：</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（1）按采购人要求提供现场技术支持和服务，进行规范现场施撒肥服务。</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（2）按照施撒定量均匀进行施撒，施撒符合本项目采购需求。</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（3）产品送达施撒现场后，进行检斤，将检斤见证签字（监理单位、中标人、采购单位）。</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4）施撒所需设备车辆需安装GPS定位系统，GPS定位系统必须保证随时能够导出本项目的卫星数据，施撒全过程录像（必要时使用无人机录像设备），中标人施撒工作完成后，施撒全过程影像资料、GPS定位系统所有数据资料等交于采购人存档。施撒所需设备车辆未安装GPS定位系统、施撒全过程若无全程录像（或录像不全），采购人可单方面解除合同，货款不予支付。</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（5）因不可抗力因素，导致大型专业肥料抛洒设备无法进场，必要时可采用无人机进行施撒肥料，若使用无人机设备施撒肥料，喷洒量、GPS轨迹、喷洒区域符合本项目要求。</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6、中标人必须按实际成交价格和每批次为采购人提供的产品数量如实开具发票，采购人将根据中标人提供的发票付款。</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7、中标人须配置专业技术人员提供现场技术支持与培训，施撒服务，保证采购人的使用人员可正常使用本产品。</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8、投标人应提供产品的相关手续验收：投标人应向采购人提供详细的出厂质量检验标准、质量证明、出厂合格证。</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9、投标人应保证在整个投标过程中诚实守信，如有提供劣质产品，虚报、欺瞒采购人等情形，采购人将拒绝付款（包括已使用部分）并退货，如因此给采购人造成损失，损失部分由投标人自行承担，已签合同自行解除，投标人应承担相应的法律责任。</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10、在合同履行期限内，如出现供货时间严重滞后，或者未能在合同履行期限内完成供货或施撒任务，影响村民春种或采购使用的情形，采购人可以扣履约保证金中相应比例。情节严重的，采购人有权终止合同，余款不予支付，给采购人所造成的相应损失，采购人保留追偿的权利。</w:t>
      </w:r>
    </w:p>
    <w:p>
      <w:pPr>
        <w:widowControl/>
        <w:jc w:val="left"/>
        <w:rPr>
          <w:rFonts w:hint="eastAsia" w:ascii="仿宋" w:hAnsi="仿宋" w:cs="仿宋"/>
          <w:b/>
          <w:bCs/>
          <w:color w:val="auto"/>
          <w:kern w:val="0"/>
          <w:szCs w:val="21"/>
          <w:highlight w:val="none"/>
          <w:lang w:bidi="ar"/>
        </w:rPr>
      </w:pPr>
      <w:r>
        <w:rPr>
          <w:rFonts w:hint="eastAsia" w:ascii="仿宋" w:hAnsi="仿宋" w:cs="仿宋"/>
          <w:b/>
          <w:bCs/>
          <w:color w:val="auto"/>
          <w:kern w:val="0"/>
          <w:szCs w:val="21"/>
          <w:highlight w:val="none"/>
          <w:lang w:bidi="ar"/>
        </w:rPr>
        <w:t>五、其他要求及说明</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1、本次投标报价应包含本项目所涉及的运输、保险、人工、材料、验收、现场施撒服务、税金等所有费用，直到验收合格为止，采购人不再支付除合同价款以外的任何费用。</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2、所有新购产品必须是全新出厂的，如果发现因包装或运输不当引起的损坏失效，投标人应负责更换，采购人可通过出厂证明，包装及数量等方面对货物进行验收，也可以随时对产品质量及数量进行抽验。</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3、投标人在投标文件中应标明所投所有产品的品牌、型号、技术参数、产地、生产厂家等相关信息。投标文件中也可附图片、说明书、合格证明、认证证书等资料予以补充说明。</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4、中标人应如期保质保量的完成本项目所涉及的所有内容，如未达到采购要求，应及时进行调整，直到完全满足其使用要求，如果最终的调整仍达不到要求，采购人有权利要求中标人承担违约责任，违约金从合同价款中扣除，严重不满足时，采购人有权终止合同，并保留相关损失追偿的权利。</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5本技术规格和技术要求所列货物的技术、规格功能作为投标人本项目投标满足的最基本要求，投标人所提供的货物在技术与功能等方面应等同于或高于上述技术、功能要求。并未对一切细节做出全部详细规定，也未充分引述有关标准和规范的条文，投标人所有与本项目有关的技术标准均应不低于报价时已颁布的国家和行业标准，或相应的国际标准的有关条文。使用最新的专利和保密专利需特别说明。检测标准依据国家现行标准执行。</w:t>
      </w:r>
    </w:p>
    <w:p>
      <w:pPr>
        <w:widowControl/>
        <w:ind w:firstLine="420" w:firstLineChars="200"/>
        <w:jc w:val="left"/>
        <w:rPr>
          <w:rFonts w:hint="eastAsia" w:ascii="仿宋" w:hAnsi="仿宋" w:cs="仿宋"/>
          <w:color w:val="auto"/>
          <w:kern w:val="0"/>
          <w:szCs w:val="21"/>
          <w:highlight w:val="none"/>
          <w:lang w:bidi="ar"/>
        </w:rPr>
      </w:pPr>
      <w:r>
        <w:rPr>
          <w:rFonts w:hint="eastAsia" w:ascii="仿宋" w:hAnsi="仿宋" w:cs="仿宋"/>
          <w:color w:val="auto"/>
          <w:kern w:val="0"/>
          <w:szCs w:val="21"/>
          <w:highlight w:val="none"/>
          <w:lang w:bidi="ar"/>
        </w:rPr>
        <w:t>6、投标人必须为所有被培训人员提供培训用文字资料和讲义等相关用品，所有的资料必须是中文或英文书写。投标方必需提供但不限于以下内容的培训：现场施肥技术支持，施撒服务、常见问题现象及诊断、解决办法，培训费用（场地、人员等）包含在投标总报价中。</w:t>
      </w:r>
    </w:p>
    <w:p>
      <w:pPr>
        <w:widowControl/>
        <w:ind w:firstLine="420" w:firstLineChars="200"/>
        <w:jc w:val="left"/>
        <w:rPr>
          <w:rFonts w:hint="eastAsia" w:ascii="仿宋" w:hAnsi="仿宋" w:cs="仿宋"/>
          <w:color w:val="auto"/>
          <w:kern w:val="0"/>
          <w:sz w:val="22"/>
          <w:szCs w:val="22"/>
          <w:highlight w:val="none"/>
          <w:lang w:bidi="ar"/>
        </w:rPr>
      </w:pPr>
      <w:r>
        <w:rPr>
          <w:rFonts w:hint="eastAsia" w:ascii="仿宋" w:hAnsi="仿宋" w:cs="仿宋"/>
          <w:color w:val="auto"/>
          <w:kern w:val="0"/>
          <w:szCs w:val="21"/>
          <w:highlight w:val="none"/>
          <w:lang w:bidi="ar"/>
        </w:rPr>
        <w:t>7、本技术规格参数提出的各项功能要求和技术指标是对本项目的最基本要求，并未对一切细节做出全部详细规定，也未充分引述有关标准和规范的条文，投标人所有与本项目有关的技术标准均应不低于报价时已颁布的国家和行业标准，或相应的国际标准的有关条文</w:t>
      </w:r>
      <w:r>
        <w:rPr>
          <w:rFonts w:hint="eastAsia" w:ascii="仿宋" w:hAnsi="仿宋" w:cs="仿宋"/>
          <w:color w:val="auto"/>
          <w:kern w:val="0"/>
          <w:sz w:val="22"/>
          <w:szCs w:val="22"/>
          <w:highlight w:val="none"/>
          <w:lang w:bidi="ar"/>
        </w:rPr>
        <w:t>。</w:t>
      </w:r>
    </w:p>
    <w:p>
      <w:pPr>
        <w:numPr>
          <w:ilvl w:val="0"/>
          <w:numId w:val="0"/>
        </w:numPr>
        <w:spacing w:line="360" w:lineRule="auto"/>
        <w:rPr>
          <w:rFonts w:hint="eastAsia" w:ascii="仿宋" w:hAnsi="仿宋" w:eastAsia="仿宋" w:cs="仿宋"/>
          <w:color w:val="auto"/>
          <w:szCs w:val="21"/>
          <w:highlight w:val="none"/>
        </w:rPr>
      </w:pPr>
    </w:p>
    <w:p>
      <w:pPr>
        <w:spacing w:line="360" w:lineRule="auto"/>
        <w:rPr>
          <w:rFonts w:hint="eastAsia" w:ascii="仿宋" w:hAnsi="仿宋" w:eastAsia="仿宋" w:cs="仿宋"/>
          <w:color w:val="auto"/>
          <w:szCs w:val="21"/>
          <w:highlight w:val="none"/>
        </w:rPr>
      </w:pPr>
    </w:p>
    <w:p>
      <w:pPr>
        <w:spacing w:line="360" w:lineRule="auto"/>
        <w:rPr>
          <w:rFonts w:hint="eastAsia" w:ascii="仿宋" w:hAnsi="仿宋" w:eastAsia="仿宋" w:cs="仿宋"/>
          <w:color w:val="auto"/>
          <w:highlight w:val="none"/>
        </w:rPr>
      </w:pPr>
    </w:p>
    <w:p>
      <w:pPr>
        <w:widowControl/>
        <w:jc w:val="left"/>
        <w:rPr>
          <w:rFonts w:hint="eastAsia" w:ascii="仿宋" w:hAnsi="仿宋" w:eastAsia="仿宋" w:cs="仿宋"/>
          <w:b/>
          <w:color w:val="auto"/>
          <w:kern w:val="44"/>
          <w:sz w:val="44"/>
          <w:highlight w:val="none"/>
        </w:rPr>
      </w:pPr>
      <w:bookmarkStart w:id="140" w:name="_Toc2821_WPSOffice_Level1"/>
    </w:p>
    <w:p>
      <w:pPr>
        <w:widowControl/>
        <w:jc w:val="left"/>
        <w:rPr>
          <w:rFonts w:hint="eastAsia" w:ascii="仿宋" w:hAnsi="仿宋" w:eastAsia="仿宋" w:cs="仿宋"/>
          <w:b/>
          <w:color w:val="auto"/>
          <w:kern w:val="44"/>
          <w:sz w:val="44"/>
          <w:highlight w:val="none"/>
        </w:rPr>
      </w:pPr>
      <w:r>
        <w:rPr>
          <w:rFonts w:hint="eastAsia" w:ascii="仿宋" w:hAnsi="仿宋" w:eastAsia="仿宋" w:cs="仿宋"/>
          <w:color w:val="auto"/>
          <w:highlight w:val="none"/>
        </w:rPr>
        <w:br w:type="page"/>
      </w:r>
    </w:p>
    <w:p>
      <w:pPr>
        <w:pStyle w:val="2"/>
        <w:snapToGrid w:val="0"/>
        <w:spacing w:before="319" w:beforeLines="100" w:after="319" w:afterLines="100" w:line="360" w:lineRule="auto"/>
        <w:rPr>
          <w:rFonts w:hint="eastAsia" w:ascii="仿宋" w:hAnsi="仿宋" w:eastAsia="仿宋" w:cs="仿宋"/>
          <w:color w:val="auto"/>
          <w:highlight w:val="none"/>
        </w:rPr>
      </w:pPr>
      <w:bookmarkStart w:id="141" w:name="_Toc25237"/>
      <w:r>
        <w:rPr>
          <w:rFonts w:hint="eastAsia" w:ascii="仿宋" w:hAnsi="仿宋" w:eastAsia="仿宋" w:cs="仿宋"/>
          <w:color w:val="auto"/>
          <w:highlight w:val="none"/>
        </w:rPr>
        <w:t>第四章 评标方法</w:t>
      </w:r>
      <w:bookmarkEnd w:id="140"/>
      <w:bookmarkEnd w:id="141"/>
    </w:p>
    <w:p>
      <w:pPr>
        <w:adjustRightInd w:val="0"/>
        <w:snapToGrid w:val="0"/>
        <w:spacing w:line="360" w:lineRule="auto"/>
        <w:ind w:firstLine="420" w:firstLineChars="200"/>
        <w:rPr>
          <w:rFonts w:hint="eastAsia" w:ascii="仿宋" w:hAnsi="仿宋" w:eastAsia="仿宋" w:cs="仿宋"/>
          <w:b/>
          <w:color w:val="auto"/>
          <w:kern w:val="0"/>
          <w:szCs w:val="21"/>
          <w:highlight w:val="none"/>
        </w:rPr>
      </w:pPr>
      <w:r>
        <w:rPr>
          <w:rFonts w:hint="eastAsia" w:ascii="仿宋" w:hAnsi="仿宋" w:eastAsia="仿宋" w:cs="仿宋"/>
          <w:bCs/>
          <w:color w:val="auto"/>
          <w:kern w:val="0"/>
          <w:szCs w:val="21"/>
          <w:highlight w:val="none"/>
        </w:rPr>
        <w:t>本项目将按照招标文件第一章投标人须知中“六 开标及评标”、“七 确定中标”及本章的规定评标。</w:t>
      </w:r>
    </w:p>
    <w:p>
      <w:pPr>
        <w:adjustRightInd w:val="0"/>
        <w:snapToGrid w:val="0"/>
        <w:spacing w:line="360" w:lineRule="auto"/>
        <w:ind w:firstLine="420" w:firstLineChars="200"/>
        <w:rPr>
          <w:rFonts w:hint="eastAsia" w:ascii="仿宋" w:hAnsi="仿宋" w:eastAsia="仿宋" w:cs="仿宋"/>
          <w:b/>
          <w:color w:val="auto"/>
          <w:kern w:val="0"/>
          <w:szCs w:val="21"/>
          <w:highlight w:val="none"/>
        </w:rPr>
      </w:pPr>
      <w:bookmarkStart w:id="142" w:name="_Toc22313_WPSOffice_Level2"/>
      <w:r>
        <w:rPr>
          <w:rFonts w:hint="eastAsia" w:ascii="仿宋" w:hAnsi="仿宋" w:eastAsia="仿宋" w:cs="仿宋"/>
          <w:b/>
          <w:color w:val="auto"/>
          <w:kern w:val="0"/>
          <w:szCs w:val="21"/>
          <w:highlight w:val="none"/>
        </w:rPr>
        <w:t>一、评标方法</w:t>
      </w:r>
      <w:bookmarkEnd w:id="142"/>
    </w:p>
    <w:p>
      <w:pPr>
        <w:adjustRightInd w:val="0"/>
        <w:snapToGrid w:val="0"/>
        <w:spacing w:line="360" w:lineRule="auto"/>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本项目采用</w:t>
      </w:r>
      <w:r>
        <w:rPr>
          <w:rFonts w:hint="eastAsia" w:ascii="仿宋" w:hAnsi="仿宋" w:eastAsia="仿宋" w:cs="仿宋"/>
          <w:color w:val="auto"/>
          <w:kern w:val="0"/>
          <w:szCs w:val="21"/>
          <w:highlight w:val="none"/>
          <w:u w:val="single"/>
        </w:rPr>
        <w:t>综合评分法</w:t>
      </w:r>
      <w:r>
        <w:rPr>
          <w:rFonts w:hint="eastAsia" w:ascii="仿宋" w:hAnsi="仿宋" w:eastAsia="仿宋" w:cs="仿宋"/>
          <w:color w:val="auto"/>
          <w:kern w:val="0"/>
          <w:szCs w:val="21"/>
          <w:highlight w:val="none"/>
        </w:rPr>
        <w:t>进行评标。</w:t>
      </w:r>
    </w:p>
    <w:p>
      <w:pPr>
        <w:adjustRightInd w:val="0"/>
        <w:snapToGrid w:val="0"/>
        <w:spacing w:line="360" w:lineRule="auto"/>
        <w:ind w:firstLine="420" w:firstLineChars="200"/>
        <w:textAlignment w:val="baseline"/>
        <w:rPr>
          <w:rFonts w:hint="eastAsia" w:ascii="仿宋" w:hAnsi="仿宋" w:eastAsia="仿宋" w:cs="仿宋"/>
          <w:b/>
          <w:color w:val="auto"/>
          <w:kern w:val="0"/>
          <w:szCs w:val="21"/>
          <w:highlight w:val="none"/>
        </w:rPr>
      </w:pPr>
      <w:bookmarkStart w:id="143" w:name="_Toc21368_WPSOffice_Level2"/>
      <w:r>
        <w:rPr>
          <w:rFonts w:hint="eastAsia" w:ascii="仿宋" w:hAnsi="仿宋" w:eastAsia="仿宋" w:cs="仿宋"/>
          <w:b/>
          <w:color w:val="auto"/>
          <w:kern w:val="0"/>
          <w:szCs w:val="21"/>
          <w:highlight w:val="none"/>
        </w:rPr>
        <w:t>二、评标原则及程序</w:t>
      </w:r>
      <w:bookmarkEnd w:id="143"/>
    </w:p>
    <w:p>
      <w:pPr>
        <w:adjustRightInd w:val="0"/>
        <w:snapToGrid w:val="0"/>
        <w:spacing w:line="360" w:lineRule="auto"/>
        <w:ind w:firstLine="420" w:firstLineChars="200"/>
        <w:textAlignment w:val="baseline"/>
        <w:rPr>
          <w:rFonts w:hint="eastAsia" w:ascii="仿宋" w:hAnsi="仿宋" w:eastAsia="仿宋" w:cs="仿宋"/>
          <w:b/>
          <w:color w:val="auto"/>
          <w:kern w:val="0"/>
          <w:szCs w:val="21"/>
          <w:highlight w:val="none"/>
        </w:rPr>
      </w:pPr>
      <w:r>
        <w:rPr>
          <w:rFonts w:hint="eastAsia" w:ascii="仿宋" w:hAnsi="仿宋" w:eastAsia="仿宋" w:cs="仿宋"/>
          <w:b/>
          <w:color w:val="auto"/>
          <w:kern w:val="0"/>
          <w:szCs w:val="21"/>
          <w:highlight w:val="none"/>
        </w:rPr>
        <w:t>（一）评标原则</w:t>
      </w:r>
    </w:p>
    <w:p>
      <w:pPr>
        <w:adjustRightInd w:val="0"/>
        <w:snapToGrid w:val="0"/>
        <w:spacing w:line="360" w:lineRule="auto"/>
        <w:ind w:firstLine="420" w:firstLineChars="200"/>
        <w:textAlignment w:val="baseline"/>
        <w:rPr>
          <w:rFonts w:hint="eastAsia" w:ascii="仿宋" w:hAnsi="仿宋" w:eastAsia="仿宋" w:cs="仿宋"/>
          <w:b/>
          <w:color w:val="auto"/>
          <w:kern w:val="0"/>
          <w:szCs w:val="21"/>
          <w:highlight w:val="none"/>
        </w:rPr>
      </w:pPr>
      <w:r>
        <w:rPr>
          <w:rFonts w:hint="eastAsia" w:ascii="仿宋" w:hAnsi="仿宋" w:eastAsia="仿宋" w:cs="仿宋"/>
          <w:color w:val="auto"/>
          <w:kern w:val="0"/>
          <w:highlight w:val="none"/>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pPr>
        <w:adjustRightInd w:val="0"/>
        <w:snapToGrid w:val="0"/>
        <w:spacing w:line="360" w:lineRule="auto"/>
        <w:ind w:firstLine="420" w:firstLineChars="200"/>
        <w:textAlignment w:val="baseline"/>
        <w:rPr>
          <w:rFonts w:hint="eastAsia" w:ascii="仿宋" w:hAnsi="仿宋" w:eastAsia="仿宋" w:cs="仿宋"/>
          <w:b/>
          <w:color w:val="auto"/>
          <w:kern w:val="0"/>
          <w:szCs w:val="21"/>
          <w:highlight w:val="none"/>
        </w:rPr>
      </w:pPr>
      <w:r>
        <w:rPr>
          <w:rFonts w:hint="eastAsia" w:ascii="仿宋" w:hAnsi="仿宋" w:eastAsia="仿宋" w:cs="仿宋"/>
          <w:b/>
          <w:color w:val="auto"/>
          <w:kern w:val="0"/>
          <w:szCs w:val="21"/>
          <w:highlight w:val="none"/>
        </w:rPr>
        <w:t>（二）评标程序</w:t>
      </w:r>
    </w:p>
    <w:p>
      <w:pPr>
        <w:adjustRightInd w:val="0"/>
        <w:snapToGrid w:val="0"/>
        <w:spacing w:line="360" w:lineRule="auto"/>
        <w:ind w:firstLine="420" w:firstLineChars="200"/>
        <w:textAlignment w:val="baseline"/>
        <w:rPr>
          <w:rFonts w:hint="eastAsia" w:ascii="仿宋" w:hAnsi="仿宋" w:eastAsia="仿宋" w:cs="仿宋"/>
          <w:b/>
          <w:color w:val="auto"/>
          <w:kern w:val="0"/>
          <w:szCs w:val="21"/>
          <w:highlight w:val="none"/>
        </w:rPr>
      </w:pPr>
      <w:r>
        <w:rPr>
          <w:rFonts w:hint="eastAsia" w:ascii="仿宋" w:hAnsi="仿宋" w:eastAsia="仿宋" w:cs="仿宋"/>
          <w:b/>
          <w:color w:val="auto"/>
          <w:kern w:val="0"/>
          <w:szCs w:val="21"/>
          <w:highlight w:val="none"/>
        </w:rPr>
        <w:t>★1、资格审查</w:t>
      </w:r>
    </w:p>
    <w:p>
      <w:pPr>
        <w:adjustRightInd w:val="0"/>
        <w:snapToGrid w:val="0"/>
        <w:spacing w:line="360" w:lineRule="auto"/>
        <w:ind w:firstLine="420" w:firstLineChars="200"/>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1.1详见投标人须知22条。资格审查表详见本章附件1。</w:t>
      </w:r>
    </w:p>
    <w:p>
      <w:pPr>
        <w:adjustRightInd w:val="0"/>
        <w:snapToGrid w:val="0"/>
        <w:spacing w:line="360" w:lineRule="auto"/>
        <w:ind w:firstLine="420" w:firstLineChars="200"/>
        <w:rPr>
          <w:rFonts w:hint="eastAsia" w:ascii="仿宋" w:hAnsi="仿宋" w:eastAsia="仿宋" w:cs="仿宋"/>
          <w:b/>
          <w:bCs/>
          <w:color w:val="auto"/>
          <w:kern w:val="0"/>
          <w:szCs w:val="21"/>
          <w:highlight w:val="none"/>
        </w:rPr>
      </w:pPr>
      <w:r>
        <w:rPr>
          <w:rFonts w:hint="eastAsia" w:ascii="仿宋" w:hAnsi="仿宋" w:eastAsia="仿宋" w:cs="仿宋"/>
          <w:b/>
          <w:color w:val="auto"/>
          <w:kern w:val="0"/>
          <w:szCs w:val="21"/>
          <w:highlight w:val="none"/>
        </w:rPr>
        <w:t>★</w:t>
      </w:r>
      <w:r>
        <w:rPr>
          <w:rFonts w:hint="eastAsia" w:ascii="仿宋" w:hAnsi="仿宋" w:eastAsia="仿宋" w:cs="仿宋"/>
          <w:b/>
          <w:bCs/>
          <w:color w:val="auto"/>
          <w:kern w:val="0"/>
          <w:szCs w:val="21"/>
          <w:highlight w:val="none"/>
        </w:rPr>
        <w:t>2、符合性审查</w:t>
      </w:r>
    </w:p>
    <w:p>
      <w:pPr>
        <w:adjustRightInd w:val="0"/>
        <w:snapToGrid w:val="0"/>
        <w:spacing w:line="360" w:lineRule="auto"/>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2.1详见投标人须知23条。符合性审查表详见本章附件2。</w:t>
      </w:r>
    </w:p>
    <w:p>
      <w:pPr>
        <w:adjustRightInd w:val="0"/>
        <w:snapToGrid w:val="0"/>
        <w:spacing w:line="360" w:lineRule="auto"/>
        <w:ind w:firstLine="420" w:firstLineChars="200"/>
        <w:rPr>
          <w:rFonts w:hint="eastAsia" w:ascii="仿宋" w:hAnsi="仿宋" w:eastAsia="仿宋" w:cs="仿宋"/>
          <w:b/>
          <w:color w:val="auto"/>
          <w:kern w:val="0"/>
          <w:szCs w:val="21"/>
          <w:highlight w:val="none"/>
        </w:rPr>
      </w:pPr>
      <w:r>
        <w:rPr>
          <w:rFonts w:hint="eastAsia" w:ascii="仿宋" w:hAnsi="仿宋" w:eastAsia="仿宋" w:cs="仿宋"/>
          <w:b/>
          <w:color w:val="auto"/>
          <w:kern w:val="0"/>
          <w:szCs w:val="21"/>
          <w:highlight w:val="none"/>
        </w:rPr>
        <w:t>3、样品及演示</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3.1</w:t>
      </w:r>
      <w:r>
        <w:rPr>
          <w:rFonts w:hint="eastAsia" w:ascii="仿宋" w:hAnsi="仿宋" w:eastAsia="仿宋" w:cs="仿宋"/>
          <w:color w:val="auto"/>
          <w:kern w:val="0"/>
          <w:szCs w:val="21"/>
          <w:highlight w:val="none"/>
        </w:rPr>
        <w:t>投标人须知表11.3条</w:t>
      </w:r>
      <w:r>
        <w:rPr>
          <w:rFonts w:hint="eastAsia" w:ascii="仿宋" w:hAnsi="仿宋" w:eastAsia="仿宋" w:cs="仿宋"/>
          <w:color w:val="auto"/>
          <w:szCs w:val="21"/>
          <w:highlight w:val="none"/>
        </w:rPr>
        <w:t>中要求投标人提供样品或演示的，按照</w:t>
      </w:r>
      <w:r>
        <w:rPr>
          <w:rFonts w:hint="eastAsia" w:ascii="仿宋" w:hAnsi="仿宋" w:eastAsia="仿宋" w:cs="仿宋"/>
          <w:color w:val="auto"/>
          <w:kern w:val="0"/>
          <w:szCs w:val="21"/>
          <w:highlight w:val="none"/>
        </w:rPr>
        <w:t>投标人须知表25.1条</w:t>
      </w:r>
      <w:r>
        <w:rPr>
          <w:rFonts w:hint="eastAsia" w:ascii="仿宋" w:hAnsi="仿宋" w:eastAsia="仿宋" w:cs="仿宋"/>
          <w:color w:val="auto"/>
          <w:szCs w:val="21"/>
          <w:highlight w:val="none"/>
        </w:rPr>
        <w:t>中确定的评审方法以及评审标准进行评审。(样品或演示属于符合性审查的，按照</w:t>
      </w:r>
      <w:r>
        <w:rPr>
          <w:rFonts w:hint="eastAsia" w:ascii="仿宋" w:hAnsi="仿宋" w:eastAsia="仿宋" w:cs="仿宋"/>
          <w:color w:val="auto"/>
          <w:kern w:val="0"/>
          <w:szCs w:val="21"/>
          <w:highlight w:val="none"/>
        </w:rPr>
        <w:t>投标人须知23条</w:t>
      </w:r>
      <w:r>
        <w:rPr>
          <w:rFonts w:hint="eastAsia" w:ascii="仿宋" w:hAnsi="仿宋" w:eastAsia="仿宋" w:cs="仿宋"/>
          <w:color w:val="auto"/>
          <w:szCs w:val="21"/>
          <w:highlight w:val="none"/>
        </w:rPr>
        <w:t>规定执行）</w:t>
      </w:r>
    </w:p>
    <w:p>
      <w:pPr>
        <w:adjustRightInd w:val="0"/>
        <w:snapToGrid w:val="0"/>
        <w:spacing w:line="360" w:lineRule="auto"/>
        <w:ind w:firstLine="420" w:firstLineChars="200"/>
        <w:rPr>
          <w:rFonts w:hint="eastAsia" w:ascii="仿宋" w:hAnsi="仿宋" w:eastAsia="仿宋" w:cs="仿宋"/>
          <w:b/>
          <w:bCs/>
          <w:color w:val="auto"/>
          <w:kern w:val="0"/>
          <w:szCs w:val="21"/>
          <w:highlight w:val="none"/>
        </w:rPr>
      </w:pPr>
      <w:r>
        <w:rPr>
          <w:rFonts w:hint="eastAsia" w:ascii="仿宋" w:hAnsi="仿宋" w:eastAsia="仿宋" w:cs="仿宋"/>
          <w:b/>
          <w:color w:val="auto"/>
          <w:kern w:val="0"/>
          <w:szCs w:val="21"/>
          <w:highlight w:val="none"/>
        </w:rPr>
        <w:t>★4</w:t>
      </w:r>
      <w:r>
        <w:rPr>
          <w:rFonts w:hint="eastAsia" w:ascii="仿宋" w:hAnsi="仿宋" w:eastAsia="仿宋" w:cs="仿宋"/>
          <w:b/>
          <w:bCs/>
          <w:color w:val="auto"/>
          <w:kern w:val="0"/>
          <w:szCs w:val="21"/>
          <w:highlight w:val="none"/>
        </w:rPr>
        <w:t>、同一品牌产品</w:t>
      </w:r>
    </w:p>
    <w:p>
      <w:pPr>
        <w:adjustRightInd w:val="0"/>
        <w:snapToGrid w:val="0"/>
        <w:spacing w:line="360" w:lineRule="auto"/>
        <w:ind w:firstLine="420" w:firstLineChars="200"/>
        <w:rPr>
          <w:rFonts w:hint="eastAsia" w:ascii="仿宋" w:hAnsi="仿宋" w:eastAsia="仿宋" w:cs="仿宋"/>
          <w:b/>
          <w:bCs/>
          <w:color w:val="auto"/>
          <w:szCs w:val="21"/>
          <w:highlight w:val="none"/>
        </w:rPr>
      </w:pPr>
      <w:r>
        <w:rPr>
          <w:rFonts w:hint="eastAsia" w:ascii="仿宋" w:hAnsi="仿宋" w:eastAsia="仿宋" w:cs="仿宋"/>
          <w:color w:val="auto"/>
          <w:szCs w:val="21"/>
          <w:highlight w:val="none"/>
        </w:rPr>
        <w:t>4.1通过资格审查、符合性审查的不同品牌投标人不足3家的，按照</w:t>
      </w:r>
      <w:r>
        <w:rPr>
          <w:rFonts w:hint="eastAsia" w:ascii="仿宋" w:hAnsi="仿宋" w:eastAsia="仿宋" w:cs="仿宋"/>
          <w:color w:val="auto"/>
          <w:kern w:val="0"/>
          <w:szCs w:val="21"/>
          <w:highlight w:val="none"/>
        </w:rPr>
        <w:t>投标人须知28条第（1）款</w:t>
      </w:r>
      <w:r>
        <w:rPr>
          <w:rFonts w:hint="eastAsia" w:ascii="仿宋" w:hAnsi="仿宋" w:eastAsia="仿宋" w:cs="仿宋"/>
          <w:color w:val="auto"/>
          <w:szCs w:val="21"/>
          <w:highlight w:val="none"/>
        </w:rPr>
        <w:t>执行</w:t>
      </w:r>
      <w:r>
        <w:rPr>
          <w:rFonts w:hint="eastAsia" w:ascii="仿宋" w:hAnsi="仿宋" w:eastAsia="仿宋" w:cs="仿宋"/>
          <w:color w:val="auto"/>
          <w:kern w:val="0"/>
          <w:szCs w:val="21"/>
          <w:highlight w:val="none"/>
        </w:rPr>
        <w:t>。</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4.2提供相同品牌产品且通过资格审查、符合性审查的不同投标人，按一家投标人计算。</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4.3如一个分包内只有一种产品，不同投标人所投产品为同一品牌的，按如下方式处理：</w:t>
      </w:r>
    </w:p>
    <w:p>
      <w:pPr>
        <w:numPr>
          <w:ilvl w:val="0"/>
          <w:numId w:val="4"/>
        </w:num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如本项目使用最低评标价法，提供相同品牌产品的不同投标人以其中通过资格审查、符合性审查且报价最低的参加比较及评价；报价相同的，按</w:t>
      </w:r>
      <w:r>
        <w:rPr>
          <w:rFonts w:hint="eastAsia" w:ascii="仿宋" w:hAnsi="仿宋" w:eastAsia="仿宋" w:cs="仿宋"/>
          <w:color w:val="auto"/>
          <w:kern w:val="0"/>
          <w:szCs w:val="21"/>
          <w:highlight w:val="none"/>
        </w:rPr>
        <w:t>本章第8条</w:t>
      </w:r>
      <w:r>
        <w:rPr>
          <w:rFonts w:hint="eastAsia" w:ascii="仿宋" w:hAnsi="仿宋" w:eastAsia="仿宋" w:cs="仿宋"/>
          <w:color w:val="auto"/>
          <w:szCs w:val="21"/>
          <w:highlight w:val="none"/>
        </w:rPr>
        <w:t>“推荐中标候选人的原则”规定执行；未规定的采取随机抽取方式确定，其他</w:t>
      </w:r>
      <w:r>
        <w:rPr>
          <w:rFonts w:hint="eastAsia" w:ascii="仿宋" w:hAnsi="仿宋" w:eastAsia="仿宋" w:cs="仿宋"/>
          <w:b/>
          <w:bCs/>
          <w:color w:val="auto"/>
          <w:szCs w:val="21"/>
          <w:highlight w:val="none"/>
        </w:rPr>
        <w:t>投标无效</w:t>
      </w:r>
      <w:r>
        <w:rPr>
          <w:rFonts w:hint="eastAsia" w:ascii="仿宋" w:hAnsi="仿宋" w:eastAsia="仿宋" w:cs="仿宋"/>
          <w:color w:val="auto"/>
          <w:szCs w:val="21"/>
          <w:highlight w:val="none"/>
        </w:rPr>
        <w:t>。</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如本项目使用综合评分法，评审后得分最高的同品牌投标人获得中标人推荐资格；评审得分相同的，按本章第8条“推荐中标候选人的原则”规定执行；未规定的采取随机抽取方式确定，其他同品牌投标人不作为中标候选人。</w:t>
      </w:r>
    </w:p>
    <w:p>
      <w:pPr>
        <w:adjustRightInd w:val="0"/>
        <w:snapToGrid w:val="0"/>
        <w:spacing w:line="360" w:lineRule="auto"/>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szCs w:val="21"/>
          <w:highlight w:val="none"/>
        </w:rPr>
        <w:t>4.4如一个分包内包含多种产品的，采购人或采购代理机构将在招标文件中载明核心产品，多家投标人提供的核心产品品牌相同的，</w:t>
      </w:r>
      <w:r>
        <w:rPr>
          <w:rFonts w:hint="eastAsia" w:ascii="仿宋" w:hAnsi="仿宋" w:eastAsia="仿宋" w:cs="仿宋"/>
          <w:color w:val="auto"/>
          <w:kern w:val="0"/>
          <w:szCs w:val="21"/>
          <w:highlight w:val="none"/>
        </w:rPr>
        <w:t>按本章第4.3条规定处理。</w:t>
      </w:r>
    </w:p>
    <w:p>
      <w:pPr>
        <w:adjustRightInd w:val="0"/>
        <w:snapToGrid w:val="0"/>
        <w:spacing w:line="360" w:lineRule="auto"/>
        <w:ind w:firstLine="420" w:firstLineChars="200"/>
        <w:rPr>
          <w:rFonts w:hint="eastAsia" w:ascii="仿宋" w:hAnsi="仿宋" w:eastAsia="仿宋" w:cs="仿宋"/>
          <w:b/>
          <w:bCs/>
          <w:color w:val="auto"/>
          <w:kern w:val="0"/>
          <w:szCs w:val="21"/>
          <w:highlight w:val="none"/>
        </w:rPr>
      </w:pPr>
      <w:r>
        <w:rPr>
          <w:rFonts w:hint="eastAsia" w:ascii="仿宋" w:hAnsi="仿宋" w:eastAsia="仿宋" w:cs="仿宋"/>
          <w:b/>
          <w:color w:val="auto"/>
          <w:kern w:val="0"/>
          <w:szCs w:val="21"/>
          <w:highlight w:val="none"/>
        </w:rPr>
        <w:t>★5</w:t>
      </w:r>
      <w:r>
        <w:rPr>
          <w:rFonts w:hint="eastAsia" w:ascii="仿宋" w:hAnsi="仿宋" w:eastAsia="仿宋" w:cs="仿宋"/>
          <w:b/>
          <w:bCs/>
          <w:color w:val="auto"/>
          <w:kern w:val="0"/>
          <w:szCs w:val="21"/>
          <w:highlight w:val="none"/>
        </w:rPr>
        <w:t>、比较及评价</w:t>
      </w:r>
    </w:p>
    <w:p>
      <w:pPr>
        <w:adjustRightInd w:val="0"/>
        <w:snapToGrid w:val="0"/>
        <w:spacing w:line="360" w:lineRule="auto"/>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5.1评标委员会对通过符合性审查的投标文件进行比较和评价。</w:t>
      </w:r>
    </w:p>
    <w:p>
      <w:pPr>
        <w:adjustRightInd w:val="0"/>
        <w:snapToGrid w:val="0"/>
        <w:spacing w:line="360" w:lineRule="auto"/>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5.2在评标期间，对投标文件的澄清按投标人须知24条内容执行。</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5.3评标委员会认为投标人的报价明显低于其他通过符合性审查的投标人报价，有可能影响产品质量或者不能诚信履约的，评标委员会应当要求其在评标现场合理的时间（</w:t>
      </w:r>
      <w:r>
        <w:rPr>
          <w:rFonts w:hint="eastAsia" w:ascii="仿宋" w:hAnsi="仿宋" w:eastAsia="仿宋" w:cs="仿宋"/>
          <w:color w:val="auto"/>
          <w:kern w:val="0"/>
          <w:szCs w:val="21"/>
          <w:highlight w:val="none"/>
        </w:rPr>
        <w:t>接到通知后</w:t>
      </w:r>
      <w:r>
        <w:rPr>
          <w:rFonts w:hint="eastAsia" w:ascii="仿宋" w:hAnsi="仿宋" w:eastAsia="仿宋" w:cs="仿宋"/>
          <w:color w:val="auto"/>
          <w:kern w:val="0"/>
          <w:szCs w:val="21"/>
          <w:highlight w:val="none"/>
          <w:u w:val="single"/>
        </w:rPr>
        <w:t xml:space="preserve">  </w:t>
      </w:r>
      <w:r>
        <w:rPr>
          <w:rFonts w:hint="eastAsia" w:ascii="仿宋" w:hAnsi="仿宋" w:cs="仿宋"/>
          <w:color w:val="auto"/>
          <w:kern w:val="0"/>
          <w:szCs w:val="21"/>
          <w:highlight w:val="none"/>
          <w:u w:val="single"/>
          <w:lang w:val="en-US" w:eastAsia="zh-CN"/>
        </w:rPr>
        <w:t>0.5</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小时</w:t>
      </w:r>
      <w:r>
        <w:rPr>
          <w:rFonts w:hint="eastAsia" w:ascii="仿宋" w:hAnsi="仿宋" w:eastAsia="仿宋" w:cs="仿宋"/>
          <w:color w:val="auto"/>
          <w:szCs w:val="21"/>
          <w:highlight w:val="none"/>
        </w:rPr>
        <w:t>）内提供书面说明，</w:t>
      </w:r>
      <w:r>
        <w:rPr>
          <w:rFonts w:hint="eastAsia" w:ascii="仿宋" w:hAnsi="仿宋" w:eastAsia="仿宋" w:cs="仿宋"/>
          <w:color w:val="auto"/>
          <w:szCs w:val="21"/>
          <w:highlight w:val="none"/>
          <w:lang w:val="en-US" w:eastAsia="zh-CN"/>
        </w:rPr>
        <w:t>必要时</w:t>
      </w:r>
      <w:r>
        <w:rPr>
          <w:rFonts w:hint="eastAsia" w:ascii="仿宋" w:hAnsi="仿宋" w:eastAsia="仿宋" w:cs="仿宋"/>
          <w:color w:val="auto"/>
          <w:szCs w:val="21"/>
          <w:highlight w:val="none"/>
        </w:rPr>
        <w:t>提交相关证明材料，</w:t>
      </w:r>
      <w:r>
        <w:rPr>
          <w:rFonts w:hint="eastAsia" w:ascii="仿宋" w:hAnsi="仿宋" w:eastAsia="仿宋" w:cs="仿宋"/>
          <w:color w:val="auto"/>
          <w:kern w:val="0"/>
          <w:szCs w:val="21"/>
          <w:highlight w:val="none"/>
        </w:rPr>
        <w:t>投标人不能证明其报价合理性的，评标委员会应当将</w:t>
      </w:r>
      <w:r>
        <w:rPr>
          <w:rFonts w:hint="eastAsia" w:ascii="仿宋" w:hAnsi="仿宋" w:eastAsia="仿宋" w:cs="仿宋"/>
          <w:color w:val="auto"/>
          <w:szCs w:val="21"/>
          <w:highlight w:val="none"/>
        </w:rPr>
        <w:t>其投标作为</w:t>
      </w:r>
      <w:r>
        <w:rPr>
          <w:rFonts w:hint="eastAsia" w:ascii="仿宋" w:hAnsi="仿宋" w:eastAsia="仿宋" w:cs="仿宋"/>
          <w:b/>
          <w:bCs/>
          <w:color w:val="auto"/>
          <w:szCs w:val="21"/>
          <w:highlight w:val="none"/>
        </w:rPr>
        <w:t>无效投标处理</w:t>
      </w:r>
      <w:r>
        <w:rPr>
          <w:rFonts w:hint="eastAsia" w:ascii="仿宋" w:hAnsi="仿宋" w:eastAsia="仿宋" w:cs="仿宋"/>
          <w:color w:val="auto"/>
          <w:szCs w:val="21"/>
          <w:highlight w:val="none"/>
        </w:rPr>
        <w:t>。</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投标人的书面说明材料包含货物本身成本、人工费用、运输、税收等，以及报价不会影响产品质量或诚信履约能力的说明等。</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投标人的书面说明应当签字确认或者加盖公章，否则无效。书面说明的签字确认，由其法定代表人（非法人单位负责人或自然人本人）或者其授权代表签字确认。</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pPr>
        <w:numPr>
          <w:ilvl w:val="0"/>
          <w:numId w:val="5"/>
        </w:num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拒绝或者变相拒绝提供有效书面说明；</w:t>
      </w:r>
    </w:p>
    <w:p>
      <w:pPr>
        <w:numPr>
          <w:ilvl w:val="0"/>
          <w:numId w:val="5"/>
        </w:num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书面说明不能证明其报价合理性的；</w:t>
      </w:r>
    </w:p>
    <w:p>
      <w:pPr>
        <w:numPr>
          <w:ilvl w:val="0"/>
          <w:numId w:val="5"/>
        </w:num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未在规定时间内递交有效书面说明书的。</w:t>
      </w:r>
    </w:p>
    <w:p>
      <w:pPr>
        <w:adjustRightInd w:val="0"/>
        <w:snapToGrid w:val="0"/>
        <w:spacing w:line="360" w:lineRule="auto"/>
        <w:ind w:firstLine="420" w:firstLineChars="200"/>
        <w:rPr>
          <w:rFonts w:hint="eastAsia" w:ascii="仿宋" w:hAnsi="仿宋" w:eastAsia="仿宋" w:cs="仿宋"/>
          <w:b/>
          <w:bCs/>
          <w:color w:val="auto"/>
          <w:kern w:val="0"/>
          <w:szCs w:val="21"/>
          <w:highlight w:val="none"/>
        </w:rPr>
      </w:pPr>
      <w:r>
        <w:rPr>
          <w:rFonts w:hint="eastAsia" w:ascii="仿宋" w:hAnsi="仿宋" w:eastAsia="仿宋" w:cs="仿宋"/>
          <w:b/>
          <w:color w:val="auto"/>
          <w:kern w:val="0"/>
          <w:szCs w:val="21"/>
          <w:highlight w:val="none"/>
        </w:rPr>
        <w:t>★6</w:t>
      </w:r>
      <w:r>
        <w:rPr>
          <w:rFonts w:hint="eastAsia" w:ascii="仿宋" w:hAnsi="仿宋" w:eastAsia="仿宋" w:cs="仿宋"/>
          <w:b/>
          <w:bCs/>
          <w:color w:val="auto"/>
          <w:kern w:val="0"/>
          <w:szCs w:val="21"/>
          <w:highlight w:val="none"/>
        </w:rPr>
        <w:t>、需落实的政府采购政策性规定：</w:t>
      </w:r>
    </w:p>
    <w:p>
      <w:pPr>
        <w:adjustRightInd w:val="0"/>
        <w:snapToGrid w:val="0"/>
        <w:spacing w:line="360" w:lineRule="auto"/>
        <w:ind w:firstLine="420" w:firstLineChars="200"/>
        <w:rPr>
          <w:rFonts w:hint="eastAsia" w:ascii="仿宋" w:hAnsi="仿宋" w:eastAsia="仿宋" w:cs="仿宋"/>
          <w:b/>
          <w:color w:val="auto"/>
          <w:kern w:val="0"/>
          <w:szCs w:val="21"/>
          <w:highlight w:val="none"/>
        </w:rPr>
      </w:pPr>
      <w:r>
        <w:rPr>
          <w:rFonts w:hint="eastAsia" w:ascii="仿宋" w:hAnsi="仿宋" w:eastAsia="仿宋" w:cs="仿宋"/>
          <w:b/>
          <w:color w:val="auto"/>
          <w:kern w:val="0"/>
          <w:szCs w:val="21"/>
          <w:highlight w:val="none"/>
        </w:rPr>
        <w:t>6.1对于中小微企业的相关规定</w:t>
      </w:r>
    </w:p>
    <w:p>
      <w:pPr>
        <w:adjustRightInd w:val="0"/>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6.1.1对于非专门面向中小企业的项目，在满足价格扣除条件且在投标文件中按要求提交了《中小企业声明函》、《制造商企业（单位）类型声明函》</w:t>
      </w:r>
      <w:r>
        <w:rPr>
          <w:rFonts w:hint="eastAsia" w:ascii="仿宋" w:hAnsi="仿宋" w:eastAsia="仿宋" w:cs="仿宋"/>
          <w:color w:val="auto"/>
          <w:kern w:val="0"/>
          <w:szCs w:val="21"/>
          <w:highlight w:val="none"/>
        </w:rPr>
        <w:t>（采购人采购的服务有伴随货物时，投标人所投货物为其它企业生产时须提供此声明函，仅作为价格扣除条件）的，</w:t>
      </w:r>
      <w:r>
        <w:rPr>
          <w:rFonts w:hint="eastAsia" w:ascii="仿宋" w:hAnsi="仿宋" w:eastAsia="仿宋" w:cs="仿宋"/>
          <w:color w:val="auto"/>
          <w:szCs w:val="21"/>
          <w:highlight w:val="none"/>
        </w:rPr>
        <w:t>对投标报价给予价格扣除，用扣除后的价格参与评审。投标报价扣除比例如下：</w:t>
      </w:r>
    </w:p>
    <w:p>
      <w:pPr>
        <w:adjustRightInd w:val="0"/>
        <w:snapToGrid w:val="0"/>
        <w:spacing w:line="360" w:lineRule="auto"/>
        <w:ind w:firstLine="210" w:firstLineChars="1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（1）非联合体投标</w:t>
      </w:r>
    </w:p>
    <w:p>
      <w:pPr>
        <w:adjustRightInd w:val="0"/>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小型和微型企业相应产品、服务投标报价的</w:t>
      </w:r>
      <w:r>
        <w:rPr>
          <w:rFonts w:hint="eastAsia" w:ascii="仿宋" w:hAnsi="仿宋" w:eastAsia="仿宋" w:cs="仿宋"/>
          <w:color w:val="auto"/>
          <w:kern w:val="0"/>
          <w:szCs w:val="21"/>
          <w:highlight w:val="none"/>
          <w:u w:val="single"/>
        </w:rPr>
        <w:t xml:space="preserve"> 10% </w:t>
      </w:r>
      <w:r>
        <w:rPr>
          <w:rFonts w:hint="eastAsia" w:ascii="仿宋" w:hAnsi="仿宋" w:eastAsia="仿宋" w:cs="仿宋"/>
          <w:color w:val="auto"/>
          <w:kern w:val="0"/>
          <w:szCs w:val="21"/>
          <w:highlight w:val="none"/>
        </w:rPr>
        <w:t>（</w:t>
      </w:r>
      <w:r>
        <w:rPr>
          <w:rFonts w:hint="eastAsia" w:ascii="仿宋" w:hAnsi="仿宋" w:eastAsia="仿宋" w:cs="仿宋"/>
          <w:i w:val="0"/>
          <w:iCs w:val="0"/>
          <w:caps w:val="0"/>
          <w:color w:val="auto"/>
          <w:spacing w:val="0"/>
          <w:sz w:val="21"/>
          <w:szCs w:val="21"/>
          <w:highlight w:val="none"/>
          <w:shd w:val="clear" w:color="auto" w:fill="FFFFFF"/>
        </w:rPr>
        <w:t>10%</w:t>
      </w:r>
      <w:r>
        <w:rPr>
          <w:rFonts w:hint="eastAsia" w:ascii="仿宋" w:hAnsi="仿宋" w:eastAsia="仿宋" w:cs="仿宋"/>
          <w:i w:val="0"/>
          <w:iCs w:val="0"/>
          <w:caps w:val="0"/>
          <w:color w:val="auto"/>
          <w:spacing w:val="0"/>
          <w:sz w:val="21"/>
          <w:szCs w:val="21"/>
          <w:highlight w:val="none"/>
          <w:shd w:val="clear" w:color="auto" w:fill="FFFFFF"/>
          <w:lang w:val="en-US" w:eastAsia="zh-CN"/>
        </w:rPr>
        <w:t>-</w:t>
      </w:r>
      <w:r>
        <w:rPr>
          <w:rFonts w:hint="eastAsia" w:ascii="仿宋" w:hAnsi="仿宋" w:eastAsia="仿宋" w:cs="仿宋"/>
          <w:i w:val="0"/>
          <w:iCs w:val="0"/>
          <w:caps w:val="0"/>
          <w:color w:val="auto"/>
          <w:spacing w:val="0"/>
          <w:sz w:val="21"/>
          <w:szCs w:val="21"/>
          <w:highlight w:val="none"/>
          <w:shd w:val="clear" w:color="auto" w:fill="FFFFFF"/>
        </w:rPr>
        <w:t>20%</w:t>
      </w:r>
      <w:r>
        <w:rPr>
          <w:rFonts w:hint="eastAsia" w:ascii="仿宋" w:hAnsi="仿宋" w:eastAsia="仿宋" w:cs="仿宋"/>
          <w:color w:val="auto"/>
          <w:szCs w:val="21"/>
          <w:highlight w:val="none"/>
        </w:rPr>
        <w:t>）</w:t>
      </w:r>
    </w:p>
    <w:p>
      <w:pPr>
        <w:adjustRightInd w:val="0"/>
        <w:snapToGrid w:val="0"/>
        <w:spacing w:line="360" w:lineRule="auto"/>
        <w:ind w:firstLine="210" w:firstLineChars="1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（2）联合体投标</w:t>
      </w:r>
    </w:p>
    <w:p>
      <w:pPr>
        <w:adjustRightInd w:val="0"/>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Pr>
          <w:rFonts w:hint="eastAsia" w:ascii="仿宋" w:hAnsi="仿宋" w:cs="仿宋"/>
          <w:color w:val="auto"/>
          <w:kern w:val="0"/>
          <w:szCs w:val="21"/>
          <w:highlight w:val="none"/>
          <w:u w:val="single"/>
        </w:rPr>
        <w:t xml:space="preserve">   /   </w:t>
      </w:r>
      <w:r>
        <w:rPr>
          <w:rFonts w:hint="eastAsia" w:ascii="仿宋" w:hAnsi="仿宋" w:eastAsia="仿宋" w:cs="仿宋"/>
          <w:color w:val="auto"/>
          <w:kern w:val="0"/>
          <w:szCs w:val="21"/>
          <w:highlight w:val="none"/>
        </w:rPr>
        <w:t>（</w:t>
      </w:r>
      <w:r>
        <w:rPr>
          <w:rFonts w:hint="eastAsia" w:ascii="仿宋" w:hAnsi="仿宋" w:eastAsia="仿宋" w:cs="仿宋"/>
          <w:color w:val="auto"/>
          <w:kern w:val="0"/>
          <w:szCs w:val="21"/>
          <w:highlight w:val="none"/>
          <w:lang w:val="en-US" w:eastAsia="zh-CN"/>
        </w:rPr>
        <w:t>4</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6</w:t>
      </w:r>
      <w:r>
        <w:rPr>
          <w:rFonts w:hint="eastAsia" w:ascii="仿宋" w:hAnsi="仿宋" w:eastAsia="仿宋" w:cs="仿宋"/>
          <w:color w:val="auto"/>
          <w:szCs w:val="21"/>
          <w:highlight w:val="none"/>
        </w:rPr>
        <w:t>%）。</w:t>
      </w:r>
    </w:p>
    <w:p>
      <w:pPr>
        <w:adjustRightInd w:val="0"/>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pPr>
        <w:adjustRightInd w:val="0"/>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6.1.2监狱企业视同小型、微型企业，在满足价格扣除条件且在投标文件中按要求提交了省级以上监狱管理局、戒毒管理局（含新疆生产建设兵团）出具的属于监狱企业的证明文件的，对其投标报价按本章5.1.1条款的比例予以扣除，</w:t>
      </w:r>
      <w:r>
        <w:rPr>
          <w:rFonts w:hint="eastAsia" w:ascii="仿宋" w:hAnsi="仿宋" w:eastAsia="仿宋" w:cs="仿宋"/>
          <w:color w:val="auto"/>
          <w:kern w:val="0"/>
          <w:szCs w:val="21"/>
          <w:highlight w:val="none"/>
        </w:rPr>
        <w:t>用扣除后的价格参与评审</w:t>
      </w:r>
      <w:r>
        <w:rPr>
          <w:rFonts w:hint="eastAsia" w:ascii="仿宋" w:hAnsi="仿宋" w:eastAsia="仿宋" w:cs="仿宋"/>
          <w:color w:val="auto"/>
          <w:szCs w:val="21"/>
          <w:highlight w:val="none"/>
        </w:rPr>
        <w:t>。</w:t>
      </w:r>
    </w:p>
    <w:p>
      <w:pPr>
        <w:adjustRightInd w:val="0"/>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b/>
          <w:color w:val="auto"/>
          <w:kern w:val="0"/>
          <w:szCs w:val="21"/>
          <w:highlight w:val="none"/>
        </w:rPr>
        <w:t>6.1.3</w:t>
      </w:r>
      <w:r>
        <w:rPr>
          <w:rFonts w:hint="eastAsia" w:ascii="仿宋" w:hAnsi="仿宋" w:eastAsia="仿宋" w:cs="仿宋"/>
          <w:color w:val="auto"/>
          <w:szCs w:val="21"/>
          <w:highlight w:val="none"/>
        </w:rPr>
        <w:t>残疾人福利性单位视同小型、微型企业，在满足价格扣除条件且在</w:t>
      </w:r>
      <w:r>
        <w:rPr>
          <w:rFonts w:hint="eastAsia" w:ascii="仿宋" w:hAnsi="仿宋" w:eastAsia="仿宋" w:cs="仿宋"/>
          <w:color w:val="auto"/>
          <w:kern w:val="0"/>
          <w:szCs w:val="21"/>
          <w:highlight w:val="none"/>
        </w:rPr>
        <w:t>投标文件中提供了《残疾人福利性单位声明函》的，</w:t>
      </w:r>
      <w:r>
        <w:rPr>
          <w:rFonts w:hint="eastAsia" w:ascii="仿宋" w:hAnsi="仿宋" w:eastAsia="仿宋" w:cs="仿宋"/>
          <w:color w:val="auto"/>
          <w:szCs w:val="21"/>
          <w:highlight w:val="none"/>
        </w:rPr>
        <w:t>对其投标报价按本章5.1.1条款的比例予以扣除</w:t>
      </w:r>
      <w:r>
        <w:rPr>
          <w:rFonts w:hint="eastAsia" w:ascii="仿宋" w:hAnsi="仿宋" w:eastAsia="仿宋" w:cs="仿宋"/>
          <w:color w:val="auto"/>
          <w:kern w:val="0"/>
          <w:szCs w:val="21"/>
          <w:highlight w:val="none"/>
        </w:rPr>
        <w:t>，用扣除后的价格参与评审。</w:t>
      </w:r>
    </w:p>
    <w:p>
      <w:pPr>
        <w:adjustRightInd w:val="0"/>
        <w:snapToGrid w:val="0"/>
        <w:spacing w:line="360" w:lineRule="auto"/>
        <w:ind w:firstLine="420" w:firstLineChars="20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6.1.4残疾人福利性单位属于小型、微型企业的，不重复享受政策。</w:t>
      </w:r>
    </w:p>
    <w:p>
      <w:pPr>
        <w:adjustRightInd w:val="0"/>
        <w:snapToGrid w:val="0"/>
        <w:spacing w:line="360" w:lineRule="auto"/>
        <w:ind w:firstLine="420" w:firstLineChars="200"/>
        <w:rPr>
          <w:rFonts w:hint="eastAsia" w:ascii="仿宋" w:hAnsi="仿宋" w:eastAsia="仿宋" w:cs="仿宋"/>
          <w:b/>
          <w:color w:val="auto"/>
          <w:kern w:val="0"/>
          <w:szCs w:val="21"/>
          <w:highlight w:val="none"/>
        </w:rPr>
      </w:pPr>
      <w:r>
        <w:rPr>
          <w:rFonts w:hint="eastAsia" w:ascii="仿宋" w:hAnsi="仿宋" w:eastAsia="仿宋" w:cs="仿宋"/>
          <w:b/>
          <w:color w:val="auto"/>
          <w:kern w:val="0"/>
          <w:szCs w:val="21"/>
          <w:highlight w:val="none"/>
        </w:rPr>
        <w:t>6.2对于节能产品、环境标志产品的相关规定</w:t>
      </w:r>
    </w:p>
    <w:p>
      <w:pPr>
        <w:numPr>
          <w:ilvl w:val="0"/>
          <w:numId w:val="6"/>
        </w:numPr>
        <w:adjustRightInd w:val="0"/>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节能产品或环境标志产品，依据品目清单和认证证书实施政府优先采购。</w:t>
      </w:r>
      <w:r>
        <w:rPr>
          <w:rFonts w:hint="eastAsia" w:ascii="仿宋" w:hAnsi="仿宋" w:eastAsia="仿宋" w:cs="仿宋"/>
          <w:color w:val="auto"/>
          <w:highlight w:val="none"/>
        </w:rPr>
        <w:t>供应商</w:t>
      </w:r>
      <w:r>
        <w:rPr>
          <w:rFonts w:hint="eastAsia" w:ascii="仿宋" w:hAnsi="仿宋" w:eastAsia="仿宋" w:cs="仿宋"/>
          <w:color w:val="auto"/>
          <w:szCs w:val="21"/>
          <w:highlight w:val="none"/>
        </w:rPr>
        <w:t>应能够提供国家确定的认证机构出具的、处于有效期之内的节能产品、环境标志产品认证证书，方可对获得证书的产品优先推荐。</w:t>
      </w:r>
    </w:p>
    <w:p>
      <w:pPr>
        <w:adjustRightInd w:val="0"/>
        <w:snapToGrid w:val="0"/>
        <w:spacing w:line="360" w:lineRule="auto"/>
        <w:ind w:firstLine="630" w:firstLineChars="300"/>
        <w:jc w:val="left"/>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rPr>
        <w:t>采用最低评标价法的，</w:t>
      </w:r>
      <w:r>
        <w:rPr>
          <w:rFonts w:hint="eastAsia" w:ascii="仿宋" w:hAnsi="仿宋" w:eastAsia="仿宋" w:cs="仿宋"/>
          <w:color w:val="auto"/>
          <w:szCs w:val="21"/>
          <w:highlight w:val="none"/>
        </w:rPr>
        <w:t>对</w:t>
      </w:r>
      <w:r>
        <w:rPr>
          <w:rFonts w:hint="eastAsia" w:ascii="仿宋" w:hAnsi="仿宋" w:eastAsia="仿宋" w:cs="仿宋"/>
          <w:color w:val="auto"/>
          <w:kern w:val="0"/>
          <w:szCs w:val="21"/>
          <w:highlight w:val="none"/>
        </w:rPr>
        <w:t>清单中投标产品的报价</w:t>
      </w:r>
      <w:r>
        <w:rPr>
          <w:rFonts w:hint="eastAsia" w:ascii="仿宋" w:hAnsi="仿宋" w:eastAsia="仿宋" w:cs="仿宋"/>
          <w:color w:val="auto"/>
          <w:szCs w:val="21"/>
          <w:highlight w:val="none"/>
        </w:rPr>
        <w:t>给予价格扣除，用扣除后的价格参与评审。报价扣除比例为</w:t>
      </w:r>
      <w:r>
        <w:rPr>
          <w:rFonts w:hint="eastAsia" w:ascii="仿宋" w:hAnsi="仿宋" w:eastAsia="仿宋" w:cs="仿宋"/>
          <w:color w:val="auto"/>
          <w:kern w:val="0"/>
          <w:szCs w:val="21"/>
          <w:highlight w:val="none"/>
        </w:rPr>
        <w:t>清单中产品报价的</w:t>
      </w:r>
      <w:r>
        <w:rPr>
          <w:rFonts w:hint="eastAsia" w:ascii="仿宋" w:hAnsi="仿宋" w:cs="仿宋"/>
          <w:color w:val="auto"/>
          <w:kern w:val="0"/>
          <w:szCs w:val="21"/>
          <w:highlight w:val="none"/>
          <w:u w:val="single"/>
        </w:rPr>
        <w:t xml:space="preserve">   /   </w:t>
      </w:r>
      <w:r>
        <w:rPr>
          <w:rFonts w:hint="eastAsia" w:ascii="仿宋" w:hAnsi="仿宋" w:eastAsia="仿宋" w:cs="仿宋"/>
          <w:color w:val="auto"/>
          <w:szCs w:val="21"/>
          <w:highlight w:val="none"/>
        </w:rPr>
        <w:t xml:space="preserve"> %。</w:t>
      </w:r>
    </w:p>
    <w:p>
      <w:pPr>
        <w:adjustRightInd w:val="0"/>
        <w:snapToGrid w:val="0"/>
        <w:spacing w:line="360" w:lineRule="auto"/>
        <w:ind w:firstLine="630" w:firstLineChars="300"/>
        <w:jc w:val="left"/>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rPr>
        <w:t>采用综合评分法评标的项目，对清单中产品给予相应的加分。（详见评分细则）</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（2）供应商应同时提供品目清单网络截图，并以明确标注所报产品信息和位置的方式，用以方便评审。</w:t>
      </w:r>
    </w:p>
    <w:p>
      <w:pPr>
        <w:adjustRightInd w:val="0"/>
        <w:snapToGrid w:val="0"/>
        <w:spacing w:line="360" w:lineRule="auto"/>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（3）认证机构和获证产品信息发布媒体：详见中国政府采购网（www.ccgp.gov.cn）建立的与认证结果信息发布平台的链接。</w:t>
      </w:r>
    </w:p>
    <w:p>
      <w:pPr>
        <w:adjustRightInd w:val="0"/>
        <w:spacing w:line="360" w:lineRule="auto"/>
        <w:ind w:firstLine="420" w:firstLineChars="200"/>
        <w:jc w:val="left"/>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6.3对于列入《辽宁省创新产品和服务目录》内的产品、服务的相关规定</w:t>
      </w:r>
    </w:p>
    <w:p>
      <w:pPr>
        <w:adjustRightIn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采用最低评标价法的：对列入《辽宁省创新产品和服务目录》内的投标产品、服务给予其投标报价</w:t>
      </w:r>
      <w:r>
        <w:rPr>
          <w:rFonts w:hint="eastAsia" w:ascii="仿宋" w:hAnsi="仿宋" w:eastAsia="仿宋" w:cs="仿宋"/>
          <w:color w:val="auto"/>
          <w:szCs w:val="21"/>
          <w:highlight w:val="none"/>
          <w:u w:val="single"/>
        </w:rPr>
        <w:t xml:space="preserve">   </w:t>
      </w:r>
      <w:r>
        <w:rPr>
          <w:rFonts w:hint="eastAsia" w:ascii="仿宋" w:hAnsi="仿宋" w:cs="仿宋"/>
          <w:color w:val="auto"/>
          <w:szCs w:val="21"/>
          <w:highlight w:val="none"/>
          <w:u w:val="single"/>
          <w:lang w:val="en-US" w:eastAsia="zh-CN"/>
        </w:rPr>
        <w:t>/</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（6-8%）的价格扣除，用扣除后的价格参与评审。</w:t>
      </w:r>
    </w:p>
    <w:p>
      <w:pPr>
        <w:adjustRightInd w:val="0"/>
        <w:spacing w:line="360" w:lineRule="auto"/>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szCs w:val="21"/>
          <w:highlight w:val="none"/>
        </w:rPr>
        <w:t>采用综合评分法评标的：对列入《辽宁省创新产品和服务目录》内的投标产品、服务给予</w:t>
      </w:r>
      <w:r>
        <w:rPr>
          <w:rFonts w:hint="eastAsia" w:ascii="仿宋" w:hAnsi="仿宋" w:eastAsia="仿宋" w:cs="仿宋"/>
          <w:color w:val="auto"/>
          <w:szCs w:val="21"/>
          <w:highlight w:val="none"/>
          <w:u w:val="single"/>
        </w:rPr>
        <w:t xml:space="preserve">  </w:t>
      </w:r>
      <w:r>
        <w:rPr>
          <w:rFonts w:hint="eastAsia" w:ascii="仿宋" w:hAnsi="仿宋" w:cs="仿宋"/>
          <w:color w:val="auto"/>
          <w:szCs w:val="21"/>
          <w:highlight w:val="none"/>
          <w:u w:val="single"/>
        </w:rPr>
        <w:t>6%</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（6-8%）的加分（详见评分细则）。</w:t>
      </w:r>
    </w:p>
    <w:p>
      <w:pPr>
        <w:adjustRightInd w:val="0"/>
        <w:snapToGrid w:val="0"/>
        <w:spacing w:line="360" w:lineRule="auto"/>
        <w:ind w:firstLine="420" w:firstLineChars="200"/>
        <w:rPr>
          <w:rFonts w:hint="eastAsia" w:ascii="仿宋" w:hAnsi="仿宋" w:eastAsia="仿宋" w:cs="仿宋"/>
          <w:b/>
          <w:bCs/>
          <w:color w:val="auto"/>
          <w:kern w:val="0"/>
          <w:szCs w:val="21"/>
          <w:highlight w:val="none"/>
        </w:rPr>
      </w:pPr>
      <w:r>
        <w:rPr>
          <w:rFonts w:hint="eastAsia" w:ascii="仿宋" w:hAnsi="仿宋" w:eastAsia="仿宋" w:cs="仿宋"/>
          <w:b/>
          <w:color w:val="auto"/>
          <w:kern w:val="0"/>
          <w:szCs w:val="21"/>
          <w:highlight w:val="none"/>
        </w:rPr>
        <w:t>★7</w:t>
      </w:r>
      <w:r>
        <w:rPr>
          <w:rFonts w:hint="eastAsia" w:ascii="仿宋" w:hAnsi="仿宋" w:eastAsia="仿宋" w:cs="仿宋"/>
          <w:b/>
          <w:bCs/>
          <w:color w:val="auto"/>
          <w:kern w:val="0"/>
          <w:szCs w:val="21"/>
          <w:highlight w:val="none"/>
        </w:rPr>
        <w:t>、投标无效情况详见投标人须知。</w:t>
      </w:r>
    </w:p>
    <w:p>
      <w:pPr>
        <w:adjustRightInd w:val="0"/>
        <w:snapToGrid w:val="0"/>
        <w:spacing w:line="360" w:lineRule="auto"/>
        <w:ind w:firstLine="420" w:firstLineChars="200"/>
        <w:rPr>
          <w:rFonts w:hint="eastAsia" w:ascii="仿宋" w:hAnsi="仿宋" w:eastAsia="仿宋" w:cs="仿宋"/>
          <w:b/>
          <w:bCs/>
          <w:color w:val="auto"/>
          <w:kern w:val="0"/>
          <w:szCs w:val="21"/>
          <w:highlight w:val="none"/>
        </w:rPr>
      </w:pPr>
      <w:r>
        <w:rPr>
          <w:rFonts w:hint="eastAsia" w:ascii="仿宋" w:hAnsi="仿宋" w:eastAsia="仿宋" w:cs="仿宋"/>
          <w:b/>
          <w:color w:val="auto"/>
          <w:kern w:val="0"/>
          <w:szCs w:val="21"/>
          <w:highlight w:val="none"/>
        </w:rPr>
        <w:t>★8</w:t>
      </w:r>
      <w:r>
        <w:rPr>
          <w:rFonts w:hint="eastAsia" w:ascii="仿宋" w:hAnsi="仿宋" w:eastAsia="仿宋" w:cs="仿宋"/>
          <w:b/>
          <w:bCs/>
          <w:color w:val="auto"/>
          <w:kern w:val="0"/>
          <w:szCs w:val="21"/>
          <w:highlight w:val="none"/>
        </w:rPr>
        <w:t>、推荐中标候选人的原则</w:t>
      </w:r>
    </w:p>
    <w:p>
      <w:pPr>
        <w:adjustRightInd w:val="0"/>
        <w:snapToGrid w:val="0"/>
        <w:spacing w:line="360" w:lineRule="auto"/>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详见第一章投标人须知第29条，具体处理办法如下：</w:t>
      </w:r>
    </w:p>
    <w:p>
      <w:pPr>
        <w:numPr>
          <w:ilvl w:val="0"/>
          <w:numId w:val="7"/>
        </w:num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采用最低评标价法的：</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扣除后的投标报价相同时，按投标报价由低至高排序；</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按前款不能区分的，优先采购节能产品、环境标志产品；</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按前款不能区分的，按技术指标优劣排序；</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其他情况，由评标委员会投票处理。</w:t>
      </w:r>
    </w:p>
    <w:p>
      <w:pPr>
        <w:numPr>
          <w:ilvl w:val="0"/>
          <w:numId w:val="7"/>
        </w:num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采用综合评分法的：</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得分相同的，按扣除后的投标报价由低到高顺序排序；</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按前款不能区分的，按投标报价由低至高顺序排序；</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按前款不能区分的，优先采购节能产品、环保产品；</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按前款不能区分的，按技术指标优劣排序；</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其他情况，由评标委员会投票处理。</w:t>
      </w:r>
    </w:p>
    <w:p>
      <w:pPr>
        <w:adjustRightInd w:val="0"/>
        <w:snapToGrid w:val="0"/>
        <w:spacing w:line="360" w:lineRule="auto"/>
        <w:ind w:firstLine="420" w:firstLineChars="200"/>
        <w:rPr>
          <w:rFonts w:hint="eastAsia" w:ascii="仿宋" w:hAnsi="仿宋" w:eastAsia="仿宋" w:cs="仿宋"/>
          <w:b/>
          <w:color w:val="auto"/>
          <w:kern w:val="0"/>
          <w:szCs w:val="21"/>
          <w:highlight w:val="none"/>
        </w:rPr>
      </w:pPr>
      <w:bookmarkStart w:id="144" w:name="_Toc30297_WPSOffice_Level2"/>
      <w:r>
        <w:rPr>
          <w:rFonts w:hint="eastAsia" w:ascii="仿宋" w:hAnsi="仿宋" w:eastAsia="仿宋" w:cs="仿宋"/>
          <w:b/>
          <w:color w:val="auto"/>
          <w:szCs w:val="21"/>
          <w:highlight w:val="none"/>
        </w:rPr>
        <w:t>三、</w:t>
      </w:r>
      <w:r>
        <w:rPr>
          <w:rFonts w:hint="eastAsia" w:ascii="仿宋" w:hAnsi="仿宋" w:eastAsia="仿宋" w:cs="仿宋"/>
          <w:b/>
          <w:color w:val="auto"/>
          <w:kern w:val="0"/>
          <w:szCs w:val="21"/>
          <w:highlight w:val="none"/>
        </w:rPr>
        <w:t>确定中标人</w:t>
      </w:r>
      <w:bookmarkEnd w:id="144"/>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评标委员会根据全体评标委员会成员签字的原始评标记录和评标结果编写评标报告，并向采购人提交书面评标报告。</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采购人按照评标报告确定的中标候选人名单按顺序确定中标人，或由采购人委托评标委员会按照第一章投标人须知第31条规定的方式确定中标人。</w:t>
      </w:r>
    </w:p>
    <w:p>
      <w:pPr>
        <w:pStyle w:val="3"/>
        <w:adjustRightInd w:val="0"/>
        <w:snapToGrid w:val="0"/>
        <w:spacing w:before="0" w:after="0" w:line="240" w:lineRule="auto"/>
        <w:jc w:val="left"/>
        <w:rPr>
          <w:rFonts w:hint="eastAsia" w:ascii="仿宋" w:hAnsi="仿宋" w:eastAsia="仿宋" w:cs="仿宋"/>
          <w:color w:val="auto"/>
          <w:szCs w:val="28"/>
          <w:highlight w:val="none"/>
        </w:rPr>
      </w:pPr>
      <w:r>
        <w:rPr>
          <w:rFonts w:hint="eastAsia" w:ascii="仿宋" w:hAnsi="仿宋" w:eastAsia="仿宋" w:cs="仿宋"/>
          <w:color w:val="auto"/>
          <w:highlight w:val="none"/>
        </w:rPr>
        <w:br w:type="page"/>
      </w:r>
      <w:bookmarkStart w:id="145" w:name="_Toc32318_WPSOffice_Level2"/>
      <w:r>
        <w:rPr>
          <w:rFonts w:hint="eastAsia" w:ascii="仿宋" w:hAnsi="仿宋" w:eastAsia="仿宋" w:cs="仿宋"/>
          <w:color w:val="auto"/>
          <w:szCs w:val="28"/>
          <w:highlight w:val="none"/>
        </w:rPr>
        <w:t xml:space="preserve">附件1 </w:t>
      </w:r>
    </w:p>
    <w:p>
      <w:pPr>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资格审查表</w:t>
      </w:r>
      <w:bookmarkEnd w:id="145"/>
    </w:p>
    <w:tbl>
      <w:tblPr>
        <w:tblStyle w:val="14"/>
        <w:tblW w:w="9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3837"/>
        <w:gridCol w:w="1982"/>
        <w:gridCol w:w="986"/>
        <w:gridCol w:w="962"/>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8" w:type="dxa"/>
            <w:vMerge w:val="restart"/>
            <w:noWrap w:val="0"/>
            <w:vAlign w:val="center"/>
          </w:tcPr>
          <w:p>
            <w:pPr>
              <w:ind w:left="-96" w:leftChars="-46" w:right="-86" w:rightChars="-41"/>
              <w:jc w:val="center"/>
              <w:rPr>
                <w:rFonts w:hint="eastAsia" w:ascii="仿宋" w:hAnsi="仿宋" w:eastAsia="仿宋" w:cs="仿宋"/>
                <w:color w:val="auto"/>
                <w:highlight w:val="none"/>
              </w:rPr>
            </w:pPr>
            <w:r>
              <w:rPr>
                <w:rFonts w:hint="eastAsia" w:ascii="仿宋" w:hAnsi="仿宋" w:eastAsia="仿宋" w:cs="仿宋"/>
                <w:color w:val="auto"/>
                <w:highlight w:val="none"/>
              </w:rPr>
              <w:t>序号</w:t>
            </w:r>
          </w:p>
        </w:tc>
        <w:tc>
          <w:tcPr>
            <w:tcW w:w="3837" w:type="dxa"/>
            <w:vMerge w:val="restart"/>
            <w:noWrap w:val="0"/>
            <w:vAlign w:val="center"/>
          </w:tcPr>
          <w:p>
            <w:pPr>
              <w:pStyle w:val="3"/>
              <w:adjustRightInd w:val="0"/>
              <w:snapToGrid w:val="0"/>
              <w:spacing w:before="0" w:after="0" w:line="240" w:lineRule="auto"/>
              <w:ind w:left="-96" w:leftChars="-46" w:right="-86" w:rightChars="-41"/>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审查项目</w:t>
            </w:r>
          </w:p>
        </w:tc>
        <w:tc>
          <w:tcPr>
            <w:tcW w:w="1982" w:type="dxa"/>
            <w:vMerge w:val="restart"/>
            <w:noWrap w:val="0"/>
            <w:vAlign w:val="center"/>
          </w:tcPr>
          <w:p>
            <w:pPr>
              <w:pStyle w:val="3"/>
              <w:adjustRightInd w:val="0"/>
              <w:snapToGrid w:val="0"/>
              <w:spacing w:before="0" w:after="0" w:line="240" w:lineRule="auto"/>
              <w:ind w:left="-96" w:leftChars="-46" w:right="-86" w:rightChars="-41"/>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审查标准</w:t>
            </w:r>
          </w:p>
        </w:tc>
        <w:tc>
          <w:tcPr>
            <w:tcW w:w="2836" w:type="dxa"/>
            <w:gridSpan w:val="3"/>
            <w:noWrap w:val="0"/>
            <w:vAlign w:val="center"/>
          </w:tcPr>
          <w:p>
            <w:pPr>
              <w:pStyle w:val="3"/>
              <w:adjustRightInd w:val="0"/>
              <w:snapToGrid w:val="0"/>
              <w:spacing w:before="0" w:after="0" w:line="240" w:lineRule="auto"/>
              <w:ind w:left="-96" w:leftChars="-46" w:right="-86" w:rightChars="-41"/>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668" w:type="dxa"/>
            <w:vMerge w:val="continue"/>
            <w:noWrap w:val="0"/>
            <w:vAlign w:val="center"/>
          </w:tcPr>
          <w:p>
            <w:pPr>
              <w:pStyle w:val="3"/>
              <w:adjustRightInd w:val="0"/>
              <w:snapToGrid w:val="0"/>
              <w:spacing w:before="0" w:after="0" w:line="240" w:lineRule="auto"/>
              <w:rPr>
                <w:rFonts w:hint="eastAsia" w:ascii="仿宋" w:hAnsi="仿宋" w:eastAsia="仿宋" w:cs="仿宋"/>
                <w:color w:val="auto"/>
                <w:highlight w:val="none"/>
              </w:rPr>
            </w:pPr>
          </w:p>
        </w:tc>
        <w:tc>
          <w:tcPr>
            <w:tcW w:w="3837" w:type="dxa"/>
            <w:vMerge w:val="continue"/>
            <w:noWrap w:val="0"/>
            <w:vAlign w:val="center"/>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1982" w:type="dxa"/>
            <w:vMerge w:val="continue"/>
            <w:noWrap w:val="0"/>
            <w:vAlign w:val="center"/>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86" w:type="dxa"/>
            <w:noWrap w:val="0"/>
            <w:vAlign w:val="center"/>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62" w:type="dxa"/>
            <w:noWrap w:val="0"/>
            <w:vAlign w:val="center"/>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888" w:type="dxa"/>
            <w:noWrap w:val="0"/>
            <w:vAlign w:val="center"/>
          </w:tcPr>
          <w:p>
            <w:pPr>
              <w:pStyle w:val="3"/>
              <w:adjustRightInd w:val="0"/>
              <w:snapToGrid w:val="0"/>
              <w:spacing w:before="0" w:after="0"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68" w:type="dxa"/>
            <w:noWrap w:val="0"/>
            <w:vAlign w:val="center"/>
          </w:tcPr>
          <w:p>
            <w:pPr>
              <w:snapToGrid w:val="0"/>
              <w:jc w:val="center"/>
              <w:rPr>
                <w:rFonts w:hint="eastAsia" w:ascii="仿宋" w:hAnsi="仿宋" w:eastAsia="仿宋" w:cs="仿宋"/>
                <w:color w:val="auto"/>
                <w:highlight w:val="none"/>
              </w:rPr>
            </w:pPr>
            <w:r>
              <w:rPr>
                <w:rFonts w:hint="eastAsia" w:ascii="仿宋" w:hAnsi="仿宋" w:eastAsia="仿宋" w:cs="仿宋"/>
                <w:color w:val="auto"/>
                <w:highlight w:val="none"/>
              </w:rPr>
              <w:t>1</w:t>
            </w:r>
          </w:p>
        </w:tc>
        <w:tc>
          <w:tcPr>
            <w:tcW w:w="3837" w:type="dxa"/>
            <w:noWrap w:val="0"/>
            <w:vAlign w:val="center"/>
          </w:tcPr>
          <w:p>
            <w:pPr>
              <w:snapToGrid w:val="0"/>
              <w:jc w:val="left"/>
              <w:rPr>
                <w:rFonts w:hint="eastAsia" w:ascii="仿宋" w:hAnsi="仿宋" w:eastAsia="仿宋" w:cs="仿宋"/>
                <w:b/>
                <w:color w:val="auto"/>
                <w:szCs w:val="21"/>
                <w:highlight w:val="none"/>
              </w:rPr>
            </w:pPr>
            <w:r>
              <w:rPr>
                <w:rFonts w:hint="eastAsia" w:ascii="仿宋" w:hAnsi="仿宋" w:eastAsia="仿宋" w:cs="仿宋"/>
                <w:color w:val="auto"/>
                <w:highlight w:val="none"/>
              </w:rPr>
              <w:t>营业执照或事业单位法人证书或执业许可证等证明文件或自然人的身份证明</w:t>
            </w:r>
          </w:p>
        </w:tc>
        <w:tc>
          <w:tcPr>
            <w:tcW w:w="1982" w:type="dxa"/>
            <w:noWrap w:val="0"/>
            <w:vAlign w:val="center"/>
          </w:tcPr>
          <w:p>
            <w:pPr>
              <w:pStyle w:val="3"/>
              <w:adjustRightInd w:val="0"/>
              <w:snapToGrid w:val="0"/>
              <w:spacing w:before="0" w:after="0" w:line="240" w:lineRule="auto"/>
              <w:jc w:val="both"/>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1.按要求提供</w:t>
            </w:r>
          </w:p>
          <w:p>
            <w:pPr>
              <w:pStyle w:val="3"/>
              <w:adjustRightInd w:val="0"/>
              <w:snapToGrid w:val="0"/>
              <w:spacing w:before="0" w:after="0" w:line="240" w:lineRule="auto"/>
              <w:jc w:val="both"/>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2.合法有效</w:t>
            </w:r>
          </w:p>
        </w:tc>
        <w:tc>
          <w:tcPr>
            <w:tcW w:w="986" w:type="dxa"/>
            <w:noWrap w:val="0"/>
            <w:vAlign w:val="center"/>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62" w:type="dxa"/>
            <w:noWrap w:val="0"/>
            <w:vAlign w:val="center"/>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888" w:type="dxa"/>
            <w:noWrap w:val="0"/>
            <w:vAlign w:val="center"/>
          </w:tcPr>
          <w:p>
            <w:pPr>
              <w:pStyle w:val="3"/>
              <w:adjustRightInd w:val="0"/>
              <w:snapToGrid w:val="0"/>
              <w:spacing w:before="0" w:after="0"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68" w:type="dxa"/>
            <w:noWrap w:val="0"/>
            <w:vAlign w:val="center"/>
          </w:tcPr>
          <w:p>
            <w:pPr>
              <w:widowControl/>
              <w:snapToGrid w:val="0"/>
              <w:jc w:val="center"/>
              <w:rPr>
                <w:rFonts w:hint="eastAsia" w:ascii="仿宋" w:hAnsi="仿宋" w:eastAsia="仿宋" w:cs="仿宋"/>
                <w:color w:val="auto"/>
                <w:highlight w:val="none"/>
              </w:rPr>
            </w:pPr>
            <w:r>
              <w:rPr>
                <w:rFonts w:hint="eastAsia" w:ascii="仿宋" w:hAnsi="仿宋" w:eastAsia="仿宋" w:cs="仿宋"/>
                <w:color w:val="auto"/>
                <w:highlight w:val="none"/>
              </w:rPr>
              <w:t>2</w:t>
            </w:r>
          </w:p>
        </w:tc>
        <w:tc>
          <w:tcPr>
            <w:tcW w:w="3837" w:type="dxa"/>
            <w:noWrap w:val="0"/>
            <w:vAlign w:val="center"/>
          </w:tcPr>
          <w:p>
            <w:pPr>
              <w:widowControl/>
              <w:snapToGrid w:val="0"/>
              <w:jc w:val="left"/>
              <w:rPr>
                <w:rFonts w:hint="eastAsia" w:ascii="仿宋" w:hAnsi="仿宋" w:eastAsia="仿宋" w:cs="仿宋"/>
                <w:b/>
                <w:color w:val="auto"/>
                <w:szCs w:val="21"/>
                <w:highlight w:val="none"/>
              </w:rPr>
            </w:pPr>
            <w:r>
              <w:rPr>
                <w:rFonts w:hint="eastAsia" w:ascii="仿宋" w:hAnsi="仿宋" w:eastAsia="仿宋" w:cs="仿宋"/>
                <w:color w:val="auto"/>
                <w:highlight w:val="none"/>
              </w:rPr>
              <w:t>组织机构代码证</w:t>
            </w:r>
          </w:p>
        </w:tc>
        <w:tc>
          <w:tcPr>
            <w:tcW w:w="1982" w:type="dxa"/>
            <w:noWrap w:val="0"/>
            <w:vAlign w:val="center"/>
          </w:tcPr>
          <w:p>
            <w:pPr>
              <w:pStyle w:val="3"/>
              <w:adjustRightInd w:val="0"/>
              <w:snapToGrid w:val="0"/>
              <w:spacing w:before="0" w:after="0" w:line="240" w:lineRule="auto"/>
              <w:jc w:val="both"/>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1.按要求提供</w:t>
            </w:r>
          </w:p>
          <w:p>
            <w:pPr>
              <w:pStyle w:val="3"/>
              <w:adjustRightInd w:val="0"/>
              <w:snapToGrid w:val="0"/>
              <w:spacing w:before="0" w:after="0" w:line="240" w:lineRule="auto"/>
              <w:jc w:val="both"/>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2.合法有效</w:t>
            </w:r>
          </w:p>
        </w:tc>
        <w:tc>
          <w:tcPr>
            <w:tcW w:w="986"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62"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888"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68" w:type="dxa"/>
            <w:noWrap w:val="0"/>
            <w:vAlign w:val="center"/>
          </w:tcPr>
          <w:p>
            <w:pPr>
              <w:widowControl/>
              <w:snapToGrid w:val="0"/>
              <w:jc w:val="center"/>
              <w:rPr>
                <w:rFonts w:hint="eastAsia" w:ascii="仿宋" w:hAnsi="仿宋" w:eastAsia="仿宋" w:cs="仿宋"/>
                <w:color w:val="auto"/>
                <w:highlight w:val="none"/>
              </w:rPr>
            </w:pPr>
            <w:r>
              <w:rPr>
                <w:rFonts w:hint="eastAsia" w:ascii="仿宋" w:hAnsi="仿宋" w:eastAsia="仿宋" w:cs="仿宋"/>
                <w:color w:val="auto"/>
                <w:highlight w:val="none"/>
              </w:rPr>
              <w:t>3</w:t>
            </w:r>
          </w:p>
        </w:tc>
        <w:tc>
          <w:tcPr>
            <w:tcW w:w="3837" w:type="dxa"/>
            <w:noWrap w:val="0"/>
            <w:vAlign w:val="center"/>
          </w:tcPr>
          <w:p>
            <w:pPr>
              <w:widowControl/>
              <w:snapToGrid w:val="0"/>
              <w:jc w:val="left"/>
              <w:rPr>
                <w:rFonts w:hint="eastAsia" w:ascii="仿宋" w:hAnsi="仿宋" w:eastAsia="仿宋" w:cs="仿宋"/>
                <w:b/>
                <w:color w:val="auto"/>
                <w:szCs w:val="21"/>
                <w:highlight w:val="none"/>
              </w:rPr>
            </w:pPr>
            <w:r>
              <w:rPr>
                <w:rFonts w:hint="eastAsia" w:ascii="仿宋" w:hAnsi="仿宋" w:eastAsia="仿宋" w:cs="仿宋"/>
                <w:color w:val="auto"/>
                <w:highlight w:val="none"/>
              </w:rPr>
              <w:t>税务登记证</w:t>
            </w:r>
          </w:p>
        </w:tc>
        <w:tc>
          <w:tcPr>
            <w:tcW w:w="1982" w:type="dxa"/>
            <w:noWrap w:val="0"/>
            <w:vAlign w:val="center"/>
          </w:tcPr>
          <w:p>
            <w:pPr>
              <w:pStyle w:val="3"/>
              <w:adjustRightInd w:val="0"/>
              <w:snapToGrid w:val="0"/>
              <w:spacing w:before="0" w:after="0" w:line="240" w:lineRule="auto"/>
              <w:jc w:val="both"/>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1.按要求提供</w:t>
            </w:r>
          </w:p>
          <w:p>
            <w:pPr>
              <w:pStyle w:val="3"/>
              <w:adjustRightInd w:val="0"/>
              <w:snapToGrid w:val="0"/>
              <w:spacing w:before="0" w:after="0" w:line="240" w:lineRule="auto"/>
              <w:jc w:val="both"/>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2.合法有效</w:t>
            </w:r>
          </w:p>
        </w:tc>
        <w:tc>
          <w:tcPr>
            <w:tcW w:w="986"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62"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888"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68" w:type="dxa"/>
            <w:noWrap w:val="0"/>
            <w:vAlign w:val="center"/>
          </w:tcPr>
          <w:p>
            <w:pPr>
              <w:widowControl/>
              <w:snapToGrid w:val="0"/>
              <w:jc w:val="center"/>
              <w:rPr>
                <w:rFonts w:hint="eastAsia" w:ascii="仿宋" w:hAnsi="仿宋" w:eastAsia="仿宋" w:cs="仿宋"/>
                <w:color w:val="auto"/>
                <w:highlight w:val="none"/>
              </w:rPr>
            </w:pPr>
            <w:r>
              <w:rPr>
                <w:rFonts w:hint="eastAsia" w:ascii="仿宋" w:hAnsi="仿宋" w:eastAsia="仿宋" w:cs="仿宋"/>
                <w:color w:val="auto"/>
                <w:szCs w:val="21"/>
                <w:highlight w:val="none"/>
              </w:rPr>
              <w:t>4</w:t>
            </w:r>
          </w:p>
        </w:tc>
        <w:tc>
          <w:tcPr>
            <w:tcW w:w="3837" w:type="dxa"/>
            <w:noWrap w:val="0"/>
            <w:vAlign w:val="center"/>
          </w:tcPr>
          <w:p>
            <w:pPr>
              <w:widowControl/>
              <w:snapToGrid w:val="0"/>
              <w:jc w:val="left"/>
              <w:rPr>
                <w:rFonts w:hint="eastAsia" w:ascii="仿宋" w:hAnsi="仿宋" w:eastAsia="仿宋" w:cs="仿宋"/>
                <w:b/>
                <w:color w:val="auto"/>
                <w:szCs w:val="21"/>
                <w:highlight w:val="none"/>
              </w:rPr>
            </w:pPr>
            <w:r>
              <w:rPr>
                <w:rFonts w:hint="eastAsia" w:ascii="仿宋" w:hAnsi="仿宋" w:eastAsia="仿宋" w:cs="仿宋"/>
                <w:color w:val="auto"/>
                <w:szCs w:val="21"/>
                <w:highlight w:val="none"/>
              </w:rPr>
              <w:t>法定代表人（或非法人组织负责人）身份证明书</w:t>
            </w:r>
          </w:p>
        </w:tc>
        <w:tc>
          <w:tcPr>
            <w:tcW w:w="1982" w:type="dxa"/>
            <w:noWrap w:val="0"/>
            <w:vAlign w:val="center"/>
          </w:tcPr>
          <w:p>
            <w:pPr>
              <w:pStyle w:val="3"/>
              <w:adjustRightInd w:val="0"/>
              <w:snapToGrid w:val="0"/>
              <w:spacing w:before="0" w:after="0" w:line="240" w:lineRule="auto"/>
              <w:jc w:val="both"/>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1.按给定格式填写</w:t>
            </w:r>
          </w:p>
          <w:p>
            <w:pPr>
              <w:pStyle w:val="3"/>
              <w:adjustRightInd w:val="0"/>
              <w:snapToGrid w:val="0"/>
              <w:spacing w:before="0" w:after="0" w:line="240" w:lineRule="auto"/>
              <w:jc w:val="both"/>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2.按规定签章</w:t>
            </w:r>
          </w:p>
        </w:tc>
        <w:tc>
          <w:tcPr>
            <w:tcW w:w="986"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62"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888"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68" w:type="dxa"/>
            <w:noWrap w:val="0"/>
            <w:vAlign w:val="center"/>
          </w:tcPr>
          <w:p>
            <w:pPr>
              <w:widowControl/>
              <w:snapToGrid w:val="0"/>
              <w:jc w:val="center"/>
              <w:rPr>
                <w:rFonts w:hint="eastAsia" w:ascii="仿宋" w:hAnsi="仿宋" w:eastAsia="仿宋" w:cs="仿宋"/>
                <w:color w:val="auto"/>
                <w:highlight w:val="none"/>
              </w:rPr>
            </w:pPr>
            <w:r>
              <w:rPr>
                <w:rFonts w:hint="eastAsia" w:ascii="仿宋" w:hAnsi="仿宋" w:eastAsia="仿宋" w:cs="仿宋"/>
                <w:color w:val="auto"/>
                <w:highlight w:val="none"/>
              </w:rPr>
              <w:t>5</w:t>
            </w:r>
          </w:p>
        </w:tc>
        <w:tc>
          <w:tcPr>
            <w:tcW w:w="3837" w:type="dxa"/>
            <w:noWrap w:val="0"/>
            <w:vAlign w:val="center"/>
          </w:tcPr>
          <w:p>
            <w:pPr>
              <w:widowControl/>
              <w:snapToGrid w:val="0"/>
              <w:jc w:val="left"/>
              <w:rPr>
                <w:rFonts w:hint="eastAsia" w:ascii="仿宋" w:hAnsi="仿宋" w:eastAsia="仿宋" w:cs="仿宋"/>
                <w:b/>
                <w:color w:val="auto"/>
                <w:szCs w:val="21"/>
                <w:highlight w:val="none"/>
              </w:rPr>
            </w:pPr>
            <w:r>
              <w:rPr>
                <w:rFonts w:hint="eastAsia" w:ascii="仿宋" w:hAnsi="仿宋" w:eastAsia="仿宋" w:cs="仿宋"/>
                <w:color w:val="auto"/>
                <w:highlight w:val="none"/>
              </w:rPr>
              <w:t>法定代表人（或非法人组织</w:t>
            </w:r>
            <w:r>
              <w:rPr>
                <w:rFonts w:hint="eastAsia" w:ascii="仿宋" w:hAnsi="仿宋" w:eastAsia="仿宋" w:cs="仿宋"/>
                <w:color w:val="auto"/>
                <w:szCs w:val="21"/>
                <w:highlight w:val="none"/>
              </w:rPr>
              <w:t>负责人）</w:t>
            </w:r>
            <w:r>
              <w:rPr>
                <w:rFonts w:hint="eastAsia" w:ascii="仿宋" w:hAnsi="仿宋" w:eastAsia="仿宋" w:cs="仿宋"/>
                <w:color w:val="auto"/>
                <w:highlight w:val="none"/>
              </w:rPr>
              <w:t>授权委托书</w:t>
            </w:r>
            <w:r>
              <w:rPr>
                <w:rFonts w:hint="eastAsia" w:ascii="仿宋" w:hAnsi="仿宋" w:eastAsia="仿宋" w:cs="仿宋"/>
                <w:color w:val="auto"/>
                <w:szCs w:val="21"/>
                <w:highlight w:val="none"/>
              </w:rPr>
              <w:t>（授权委托人参加投标的须提供）</w:t>
            </w:r>
          </w:p>
        </w:tc>
        <w:tc>
          <w:tcPr>
            <w:tcW w:w="1982" w:type="dxa"/>
            <w:noWrap w:val="0"/>
            <w:vAlign w:val="center"/>
          </w:tcPr>
          <w:p>
            <w:pPr>
              <w:pStyle w:val="3"/>
              <w:adjustRightInd w:val="0"/>
              <w:snapToGrid w:val="0"/>
              <w:spacing w:before="0" w:after="0" w:line="240" w:lineRule="auto"/>
              <w:jc w:val="both"/>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1.按给定格式填写</w:t>
            </w:r>
          </w:p>
          <w:p>
            <w:pPr>
              <w:pStyle w:val="3"/>
              <w:adjustRightInd w:val="0"/>
              <w:snapToGrid w:val="0"/>
              <w:spacing w:before="0" w:after="0" w:line="240" w:lineRule="auto"/>
              <w:jc w:val="both"/>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2.按规定签章</w:t>
            </w:r>
          </w:p>
        </w:tc>
        <w:tc>
          <w:tcPr>
            <w:tcW w:w="986"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62"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888"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68" w:type="dxa"/>
            <w:noWrap w:val="0"/>
            <w:vAlign w:val="center"/>
          </w:tcPr>
          <w:p>
            <w:pPr>
              <w:widowControl/>
              <w:snapToGrid w:val="0"/>
              <w:jc w:val="center"/>
              <w:rPr>
                <w:rFonts w:hint="eastAsia" w:ascii="仿宋" w:hAnsi="仿宋" w:eastAsia="仿宋" w:cs="仿宋"/>
                <w:color w:val="auto"/>
                <w:highlight w:val="none"/>
              </w:rPr>
            </w:pPr>
            <w:r>
              <w:rPr>
                <w:rFonts w:hint="eastAsia" w:ascii="仿宋" w:hAnsi="仿宋" w:eastAsia="仿宋" w:cs="仿宋"/>
                <w:color w:val="auto"/>
                <w:highlight w:val="none"/>
              </w:rPr>
              <w:t>6</w:t>
            </w:r>
          </w:p>
        </w:tc>
        <w:tc>
          <w:tcPr>
            <w:tcW w:w="3837" w:type="dxa"/>
            <w:noWrap w:val="0"/>
            <w:vAlign w:val="center"/>
          </w:tcPr>
          <w:p>
            <w:pPr>
              <w:widowControl/>
              <w:snapToGrid w:val="0"/>
              <w:jc w:val="left"/>
              <w:rPr>
                <w:rFonts w:hint="eastAsia" w:ascii="仿宋" w:hAnsi="仿宋" w:eastAsia="仿宋" w:cs="仿宋"/>
                <w:b/>
                <w:color w:val="auto"/>
                <w:szCs w:val="21"/>
                <w:highlight w:val="none"/>
              </w:rPr>
            </w:pPr>
            <w:r>
              <w:rPr>
                <w:rFonts w:hint="eastAsia" w:ascii="仿宋" w:hAnsi="仿宋" w:eastAsia="仿宋" w:cs="仿宋"/>
                <w:color w:val="auto"/>
                <w:highlight w:val="none"/>
              </w:rPr>
              <w:t>具有良好的商业信誉和健全的财务会计制度的承诺函</w:t>
            </w:r>
          </w:p>
        </w:tc>
        <w:tc>
          <w:tcPr>
            <w:tcW w:w="1982" w:type="dxa"/>
            <w:noWrap w:val="0"/>
            <w:vAlign w:val="center"/>
          </w:tcPr>
          <w:p>
            <w:pPr>
              <w:pStyle w:val="3"/>
              <w:adjustRightInd w:val="0"/>
              <w:snapToGrid w:val="0"/>
              <w:spacing w:before="0" w:after="0" w:line="240" w:lineRule="auto"/>
              <w:jc w:val="both"/>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1.信息完整</w:t>
            </w:r>
          </w:p>
          <w:p>
            <w:pPr>
              <w:pStyle w:val="3"/>
              <w:adjustRightInd w:val="0"/>
              <w:snapToGrid w:val="0"/>
              <w:spacing w:before="0" w:after="0" w:line="240" w:lineRule="auto"/>
              <w:jc w:val="both"/>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2.按规定签章</w:t>
            </w:r>
          </w:p>
        </w:tc>
        <w:tc>
          <w:tcPr>
            <w:tcW w:w="986"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62"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888"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68" w:type="dxa"/>
            <w:noWrap w:val="0"/>
            <w:vAlign w:val="center"/>
          </w:tcPr>
          <w:p>
            <w:pPr>
              <w:snapToGrid w:val="0"/>
              <w:jc w:val="center"/>
              <w:rPr>
                <w:rFonts w:hint="eastAsia" w:ascii="仿宋" w:hAnsi="仿宋" w:eastAsia="仿宋" w:cs="仿宋"/>
                <w:color w:val="auto"/>
                <w:highlight w:val="none"/>
              </w:rPr>
            </w:pPr>
            <w:r>
              <w:rPr>
                <w:rFonts w:hint="eastAsia" w:ascii="仿宋" w:hAnsi="仿宋" w:eastAsia="仿宋" w:cs="仿宋"/>
                <w:color w:val="auto"/>
                <w:highlight w:val="none"/>
              </w:rPr>
              <w:t>7</w:t>
            </w:r>
          </w:p>
        </w:tc>
        <w:tc>
          <w:tcPr>
            <w:tcW w:w="3837" w:type="dxa"/>
            <w:noWrap w:val="0"/>
            <w:vAlign w:val="center"/>
          </w:tcPr>
          <w:p>
            <w:pPr>
              <w:snapToGrid w:val="0"/>
              <w:jc w:val="left"/>
              <w:rPr>
                <w:rFonts w:hint="eastAsia" w:ascii="仿宋" w:hAnsi="仿宋" w:eastAsia="仿宋" w:cs="仿宋"/>
                <w:b/>
                <w:color w:val="auto"/>
                <w:szCs w:val="21"/>
                <w:highlight w:val="none"/>
              </w:rPr>
            </w:pPr>
            <w:r>
              <w:rPr>
                <w:rFonts w:hint="eastAsia" w:ascii="仿宋" w:hAnsi="仿宋" w:eastAsia="仿宋" w:cs="仿宋"/>
                <w:color w:val="auto"/>
                <w:highlight w:val="none"/>
              </w:rPr>
              <w:t>开标时间前六个月内任一个月的依法缴纳税收的缴款凭据</w:t>
            </w:r>
          </w:p>
        </w:tc>
        <w:tc>
          <w:tcPr>
            <w:tcW w:w="1982" w:type="dxa"/>
            <w:noWrap w:val="0"/>
            <w:vAlign w:val="center"/>
          </w:tcPr>
          <w:p>
            <w:pPr>
              <w:pStyle w:val="3"/>
              <w:adjustRightInd w:val="0"/>
              <w:snapToGrid w:val="0"/>
              <w:spacing w:before="0" w:after="0" w:line="240" w:lineRule="auto"/>
              <w:jc w:val="both"/>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1.按要求提供</w:t>
            </w:r>
          </w:p>
          <w:p>
            <w:pPr>
              <w:pStyle w:val="3"/>
              <w:adjustRightInd w:val="0"/>
              <w:snapToGrid w:val="0"/>
              <w:spacing w:before="0" w:after="0" w:line="240" w:lineRule="auto"/>
              <w:jc w:val="both"/>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2.合法有效</w:t>
            </w:r>
          </w:p>
        </w:tc>
        <w:tc>
          <w:tcPr>
            <w:tcW w:w="986"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62"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888"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68" w:type="dxa"/>
            <w:noWrap w:val="0"/>
            <w:vAlign w:val="center"/>
          </w:tcPr>
          <w:p>
            <w:pPr>
              <w:snapToGrid w:val="0"/>
              <w:jc w:val="center"/>
              <w:rPr>
                <w:rFonts w:hint="eastAsia" w:ascii="仿宋" w:hAnsi="仿宋" w:eastAsia="仿宋" w:cs="仿宋"/>
                <w:color w:val="auto"/>
                <w:highlight w:val="none"/>
              </w:rPr>
            </w:pPr>
            <w:r>
              <w:rPr>
                <w:rFonts w:hint="eastAsia" w:ascii="仿宋" w:hAnsi="仿宋" w:eastAsia="仿宋" w:cs="仿宋"/>
                <w:color w:val="auto"/>
                <w:highlight w:val="none"/>
              </w:rPr>
              <w:t>8</w:t>
            </w:r>
          </w:p>
        </w:tc>
        <w:tc>
          <w:tcPr>
            <w:tcW w:w="3837" w:type="dxa"/>
            <w:noWrap w:val="0"/>
            <w:vAlign w:val="center"/>
          </w:tcPr>
          <w:p>
            <w:pPr>
              <w:snapToGrid w:val="0"/>
              <w:jc w:val="left"/>
              <w:rPr>
                <w:rFonts w:hint="eastAsia" w:ascii="仿宋" w:hAnsi="仿宋" w:eastAsia="仿宋" w:cs="仿宋"/>
                <w:b/>
                <w:color w:val="auto"/>
                <w:szCs w:val="21"/>
                <w:highlight w:val="none"/>
              </w:rPr>
            </w:pPr>
            <w:r>
              <w:rPr>
                <w:rFonts w:hint="eastAsia" w:ascii="仿宋" w:hAnsi="仿宋" w:eastAsia="仿宋" w:cs="仿宋"/>
                <w:color w:val="auto"/>
                <w:highlight w:val="none"/>
              </w:rPr>
              <w:t>开标时间前六个月内任一个月的依法缴纳社会保障资金的缴款凭据</w:t>
            </w:r>
          </w:p>
        </w:tc>
        <w:tc>
          <w:tcPr>
            <w:tcW w:w="1982" w:type="dxa"/>
            <w:noWrap w:val="0"/>
            <w:vAlign w:val="center"/>
          </w:tcPr>
          <w:p>
            <w:pPr>
              <w:pStyle w:val="3"/>
              <w:adjustRightInd w:val="0"/>
              <w:snapToGrid w:val="0"/>
              <w:spacing w:before="0" w:after="0" w:line="240" w:lineRule="auto"/>
              <w:jc w:val="both"/>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1.按要求提供</w:t>
            </w:r>
          </w:p>
          <w:p>
            <w:pPr>
              <w:pStyle w:val="3"/>
              <w:adjustRightInd w:val="0"/>
              <w:snapToGrid w:val="0"/>
              <w:spacing w:before="0" w:after="0" w:line="240" w:lineRule="auto"/>
              <w:jc w:val="both"/>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2.合法有效</w:t>
            </w:r>
          </w:p>
        </w:tc>
        <w:tc>
          <w:tcPr>
            <w:tcW w:w="986"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62"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888"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68" w:type="dxa"/>
            <w:noWrap w:val="0"/>
            <w:vAlign w:val="center"/>
          </w:tcPr>
          <w:p>
            <w:pPr>
              <w:snapToGrid w:val="0"/>
              <w:jc w:val="center"/>
              <w:rPr>
                <w:rFonts w:hint="eastAsia" w:ascii="仿宋" w:hAnsi="仿宋" w:eastAsia="仿宋" w:cs="仿宋"/>
                <w:color w:val="auto"/>
                <w:highlight w:val="none"/>
              </w:rPr>
            </w:pPr>
            <w:r>
              <w:rPr>
                <w:rFonts w:hint="eastAsia" w:ascii="仿宋" w:hAnsi="仿宋" w:eastAsia="仿宋" w:cs="仿宋"/>
                <w:color w:val="auto"/>
                <w:highlight w:val="none"/>
              </w:rPr>
              <w:t>9</w:t>
            </w:r>
          </w:p>
        </w:tc>
        <w:tc>
          <w:tcPr>
            <w:tcW w:w="3837" w:type="dxa"/>
            <w:noWrap w:val="0"/>
            <w:vAlign w:val="center"/>
          </w:tcPr>
          <w:p>
            <w:pPr>
              <w:snapToGrid w:val="0"/>
              <w:jc w:val="left"/>
              <w:rPr>
                <w:rFonts w:hint="eastAsia" w:ascii="仿宋" w:hAnsi="仿宋" w:eastAsia="仿宋" w:cs="仿宋"/>
                <w:b/>
                <w:color w:val="auto"/>
                <w:szCs w:val="21"/>
                <w:highlight w:val="none"/>
              </w:rPr>
            </w:pPr>
            <w:r>
              <w:rPr>
                <w:rFonts w:hint="eastAsia" w:ascii="仿宋" w:hAnsi="仿宋" w:eastAsia="仿宋" w:cs="仿宋"/>
                <w:color w:val="auto"/>
                <w:highlight w:val="none"/>
              </w:rPr>
              <w:t>具备履行合同所必需的设备和专业技术能力声明函</w:t>
            </w:r>
          </w:p>
        </w:tc>
        <w:tc>
          <w:tcPr>
            <w:tcW w:w="1982" w:type="dxa"/>
            <w:noWrap w:val="0"/>
            <w:vAlign w:val="center"/>
          </w:tcPr>
          <w:p>
            <w:pPr>
              <w:pStyle w:val="3"/>
              <w:adjustRightInd w:val="0"/>
              <w:snapToGrid w:val="0"/>
              <w:spacing w:before="0" w:after="0" w:line="240" w:lineRule="auto"/>
              <w:jc w:val="both"/>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1.信息完整</w:t>
            </w:r>
          </w:p>
          <w:p>
            <w:pPr>
              <w:pStyle w:val="3"/>
              <w:adjustRightInd w:val="0"/>
              <w:snapToGrid w:val="0"/>
              <w:spacing w:before="0" w:after="0" w:line="240" w:lineRule="auto"/>
              <w:jc w:val="both"/>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2.按规定签章</w:t>
            </w:r>
          </w:p>
        </w:tc>
        <w:tc>
          <w:tcPr>
            <w:tcW w:w="986"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62"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888"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68" w:type="dxa"/>
            <w:noWrap w:val="0"/>
            <w:vAlign w:val="center"/>
          </w:tcPr>
          <w:p>
            <w:pPr>
              <w:snapToGrid w:val="0"/>
              <w:jc w:val="center"/>
              <w:rPr>
                <w:rFonts w:hint="eastAsia" w:ascii="仿宋" w:hAnsi="仿宋" w:eastAsia="仿宋" w:cs="仿宋"/>
                <w:color w:val="auto"/>
                <w:highlight w:val="none"/>
              </w:rPr>
            </w:pPr>
            <w:r>
              <w:rPr>
                <w:rFonts w:hint="eastAsia" w:ascii="仿宋" w:hAnsi="仿宋" w:eastAsia="仿宋" w:cs="仿宋"/>
                <w:color w:val="auto"/>
                <w:szCs w:val="21"/>
                <w:highlight w:val="none"/>
              </w:rPr>
              <w:t>10</w:t>
            </w:r>
          </w:p>
        </w:tc>
        <w:tc>
          <w:tcPr>
            <w:tcW w:w="3837" w:type="dxa"/>
            <w:noWrap w:val="0"/>
            <w:vAlign w:val="center"/>
          </w:tcPr>
          <w:p>
            <w:pPr>
              <w:snapToGrid w:val="0"/>
              <w:jc w:val="left"/>
              <w:rPr>
                <w:rFonts w:hint="eastAsia" w:ascii="仿宋" w:hAnsi="仿宋" w:eastAsia="仿宋" w:cs="仿宋"/>
                <w:color w:val="auto"/>
                <w:highlight w:val="none"/>
              </w:rPr>
            </w:pPr>
            <w:r>
              <w:rPr>
                <w:rFonts w:hint="eastAsia" w:ascii="仿宋" w:hAnsi="仿宋" w:eastAsia="仿宋" w:cs="仿宋"/>
                <w:color w:val="auto"/>
                <w:szCs w:val="21"/>
                <w:highlight w:val="none"/>
              </w:rPr>
              <w:t>参加政府采购活动前3年内在经营活动中没有重大违法记录的书面声明</w:t>
            </w:r>
          </w:p>
        </w:tc>
        <w:tc>
          <w:tcPr>
            <w:tcW w:w="1982" w:type="dxa"/>
            <w:noWrap w:val="0"/>
            <w:vAlign w:val="center"/>
          </w:tcPr>
          <w:p>
            <w:pPr>
              <w:pStyle w:val="3"/>
              <w:adjustRightInd w:val="0"/>
              <w:snapToGrid w:val="0"/>
              <w:spacing w:before="0" w:after="0" w:line="240" w:lineRule="auto"/>
              <w:jc w:val="both"/>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1.按给定格式填写</w:t>
            </w:r>
          </w:p>
          <w:p>
            <w:pPr>
              <w:pStyle w:val="3"/>
              <w:adjustRightInd w:val="0"/>
              <w:snapToGrid w:val="0"/>
              <w:spacing w:before="0" w:after="0" w:line="240" w:lineRule="auto"/>
              <w:jc w:val="both"/>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2.按规定签章</w:t>
            </w:r>
          </w:p>
        </w:tc>
        <w:tc>
          <w:tcPr>
            <w:tcW w:w="986"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62"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888"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68" w:type="dxa"/>
            <w:noWrap w:val="0"/>
            <w:vAlign w:val="center"/>
          </w:tcPr>
          <w:p>
            <w:pPr>
              <w:snapToGrid w:val="0"/>
              <w:jc w:val="center"/>
              <w:rPr>
                <w:rFonts w:hint="eastAsia" w:ascii="仿宋" w:hAnsi="仿宋" w:eastAsia="仿宋" w:cs="仿宋"/>
                <w:color w:val="auto"/>
                <w:highlight w:val="none"/>
              </w:rPr>
            </w:pPr>
            <w:r>
              <w:rPr>
                <w:rFonts w:hint="eastAsia" w:ascii="仿宋" w:hAnsi="仿宋" w:eastAsia="仿宋" w:cs="仿宋"/>
                <w:color w:val="auto"/>
                <w:szCs w:val="21"/>
                <w:highlight w:val="none"/>
              </w:rPr>
              <w:t>11</w:t>
            </w:r>
          </w:p>
        </w:tc>
        <w:tc>
          <w:tcPr>
            <w:tcW w:w="3837" w:type="dxa"/>
            <w:noWrap w:val="0"/>
            <w:vAlign w:val="center"/>
          </w:tcPr>
          <w:p>
            <w:pPr>
              <w:snapToGrid w:val="0"/>
              <w:jc w:val="left"/>
              <w:rPr>
                <w:rFonts w:hint="eastAsia" w:ascii="仿宋" w:hAnsi="仿宋" w:eastAsia="仿宋" w:cs="仿宋"/>
                <w:color w:val="auto"/>
                <w:highlight w:val="none"/>
              </w:rPr>
            </w:pPr>
            <w:r>
              <w:rPr>
                <w:rFonts w:hint="eastAsia" w:ascii="仿宋" w:hAnsi="仿宋" w:eastAsia="仿宋" w:cs="仿宋"/>
                <w:color w:val="auto"/>
                <w:highlight w:val="none"/>
              </w:rPr>
              <w:t>联合体协议书（如适用）</w:t>
            </w:r>
          </w:p>
          <w:p>
            <w:pPr>
              <w:snapToGrid w:val="0"/>
              <w:jc w:val="left"/>
              <w:rPr>
                <w:rFonts w:hint="eastAsia" w:ascii="仿宋" w:hAnsi="仿宋" w:eastAsia="仿宋" w:cs="仿宋"/>
                <w:b/>
                <w:color w:val="auto"/>
                <w:szCs w:val="21"/>
                <w:highlight w:val="none"/>
                <w:lang w:eastAsia="zh-CN"/>
              </w:rPr>
            </w:pPr>
            <w:r>
              <w:rPr>
                <w:rFonts w:hint="eastAsia" w:ascii="仿宋" w:hAnsi="仿宋" w:cs="仿宋"/>
                <w:b/>
                <w:bCs/>
                <w:color w:val="auto"/>
                <w:highlight w:val="none"/>
                <w:lang w:eastAsia="zh-CN"/>
              </w:rPr>
              <w:t>（本项目不适用）</w:t>
            </w:r>
          </w:p>
        </w:tc>
        <w:tc>
          <w:tcPr>
            <w:tcW w:w="1982" w:type="dxa"/>
            <w:noWrap w:val="0"/>
            <w:vAlign w:val="center"/>
          </w:tcPr>
          <w:p>
            <w:pPr>
              <w:pStyle w:val="3"/>
              <w:adjustRightInd w:val="0"/>
              <w:snapToGrid w:val="0"/>
              <w:spacing w:before="0" w:after="0" w:line="240" w:lineRule="auto"/>
              <w:jc w:val="both"/>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1.按给定格式填写</w:t>
            </w:r>
          </w:p>
          <w:p>
            <w:pPr>
              <w:pStyle w:val="3"/>
              <w:adjustRightInd w:val="0"/>
              <w:snapToGrid w:val="0"/>
              <w:spacing w:before="0" w:after="0" w:line="240" w:lineRule="auto"/>
              <w:jc w:val="both"/>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2.按规定签章</w:t>
            </w:r>
          </w:p>
        </w:tc>
        <w:tc>
          <w:tcPr>
            <w:tcW w:w="986"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62"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888"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68" w:type="dxa"/>
            <w:noWrap w:val="0"/>
            <w:vAlign w:val="center"/>
          </w:tcPr>
          <w:p>
            <w:pPr>
              <w:snapToGrid w:val="0"/>
              <w:jc w:val="center"/>
              <w:rPr>
                <w:rFonts w:hint="eastAsia" w:ascii="仿宋" w:hAnsi="仿宋" w:eastAsia="仿宋" w:cs="仿宋"/>
                <w:color w:val="auto"/>
                <w:highlight w:val="none"/>
              </w:rPr>
            </w:pPr>
            <w:r>
              <w:rPr>
                <w:rFonts w:hint="eastAsia" w:ascii="仿宋" w:hAnsi="仿宋" w:eastAsia="仿宋" w:cs="仿宋"/>
                <w:color w:val="auto"/>
                <w:szCs w:val="21"/>
                <w:highlight w:val="none"/>
              </w:rPr>
              <w:t>12</w:t>
            </w:r>
          </w:p>
        </w:tc>
        <w:tc>
          <w:tcPr>
            <w:tcW w:w="3837" w:type="dxa"/>
            <w:noWrap w:val="0"/>
            <w:vAlign w:val="center"/>
          </w:tcPr>
          <w:p>
            <w:pPr>
              <w:snapToGrid w:val="0"/>
              <w:jc w:val="left"/>
              <w:rPr>
                <w:rFonts w:hint="eastAsia" w:ascii="仿宋" w:hAnsi="仿宋" w:eastAsia="仿宋" w:cs="仿宋"/>
                <w:b/>
                <w:color w:val="auto"/>
                <w:szCs w:val="21"/>
                <w:highlight w:val="none"/>
              </w:rPr>
            </w:pPr>
            <w:r>
              <w:rPr>
                <w:rFonts w:hint="eastAsia" w:ascii="仿宋" w:hAnsi="仿宋" w:eastAsia="仿宋" w:cs="仿宋"/>
                <w:color w:val="auto"/>
                <w:szCs w:val="21"/>
                <w:highlight w:val="none"/>
              </w:rPr>
              <w:t>其它资格证明文件（如适用，按投标人须知表1.3.4要求描述）</w:t>
            </w:r>
          </w:p>
        </w:tc>
        <w:tc>
          <w:tcPr>
            <w:tcW w:w="1982" w:type="dxa"/>
            <w:noWrap w:val="0"/>
            <w:vAlign w:val="center"/>
          </w:tcPr>
          <w:p>
            <w:pPr>
              <w:pStyle w:val="3"/>
              <w:adjustRightInd w:val="0"/>
              <w:snapToGrid w:val="0"/>
              <w:spacing w:before="0" w:after="0" w:line="240" w:lineRule="auto"/>
              <w:jc w:val="both"/>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1.按要求提供</w:t>
            </w:r>
          </w:p>
          <w:p>
            <w:pPr>
              <w:pStyle w:val="3"/>
              <w:adjustRightInd w:val="0"/>
              <w:snapToGrid w:val="0"/>
              <w:spacing w:before="0" w:after="0" w:line="240" w:lineRule="auto"/>
              <w:jc w:val="both"/>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2.合法有效</w:t>
            </w:r>
          </w:p>
        </w:tc>
        <w:tc>
          <w:tcPr>
            <w:tcW w:w="986"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62"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888"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68" w:type="dxa"/>
            <w:noWrap w:val="0"/>
            <w:vAlign w:val="center"/>
          </w:tcPr>
          <w:p>
            <w:pPr>
              <w:snapToGrid w:val="0"/>
              <w:jc w:val="center"/>
              <w:rPr>
                <w:rFonts w:hint="eastAsia" w:ascii="仿宋" w:hAnsi="仿宋" w:eastAsia="仿宋" w:cs="仿宋"/>
                <w:color w:val="auto"/>
                <w:highlight w:val="none"/>
              </w:rPr>
            </w:pPr>
            <w:r>
              <w:rPr>
                <w:rFonts w:hint="eastAsia" w:ascii="仿宋" w:hAnsi="仿宋" w:eastAsia="仿宋" w:cs="仿宋"/>
                <w:color w:val="auto"/>
                <w:highlight w:val="none"/>
              </w:rPr>
              <w:t>13</w:t>
            </w:r>
          </w:p>
        </w:tc>
        <w:tc>
          <w:tcPr>
            <w:tcW w:w="3837" w:type="dxa"/>
            <w:noWrap w:val="0"/>
            <w:vAlign w:val="center"/>
          </w:tcPr>
          <w:p>
            <w:pPr>
              <w:snapToGrid w:val="0"/>
              <w:jc w:val="left"/>
              <w:rPr>
                <w:rFonts w:hint="eastAsia" w:ascii="仿宋" w:hAnsi="仿宋" w:eastAsia="仿宋" w:cs="仿宋"/>
                <w:b/>
                <w:color w:val="auto"/>
                <w:szCs w:val="21"/>
                <w:highlight w:val="none"/>
              </w:rPr>
            </w:pPr>
            <w:r>
              <w:rPr>
                <w:rFonts w:hint="eastAsia" w:ascii="仿宋" w:hAnsi="仿宋" w:eastAsia="仿宋" w:cs="仿宋"/>
                <w:color w:val="auto"/>
                <w:szCs w:val="21"/>
                <w:highlight w:val="none"/>
              </w:rPr>
              <w:t>联合体投标的其它资格证明文件（如适用，按投标人须知表1.4.8要求描述）</w:t>
            </w:r>
            <w:r>
              <w:rPr>
                <w:rFonts w:hint="eastAsia" w:ascii="仿宋" w:hAnsi="仿宋" w:cs="仿宋"/>
                <w:b/>
                <w:bCs/>
                <w:color w:val="auto"/>
                <w:highlight w:val="none"/>
                <w:lang w:eastAsia="zh-CN"/>
              </w:rPr>
              <w:t>（本项目不适用）</w:t>
            </w:r>
          </w:p>
        </w:tc>
        <w:tc>
          <w:tcPr>
            <w:tcW w:w="1982" w:type="dxa"/>
            <w:noWrap w:val="0"/>
            <w:vAlign w:val="center"/>
          </w:tcPr>
          <w:p>
            <w:pPr>
              <w:pStyle w:val="3"/>
              <w:adjustRightInd w:val="0"/>
              <w:snapToGrid w:val="0"/>
              <w:spacing w:before="0" w:after="0" w:line="240" w:lineRule="auto"/>
              <w:jc w:val="both"/>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1.按要求提供</w:t>
            </w:r>
          </w:p>
          <w:p>
            <w:pPr>
              <w:pStyle w:val="3"/>
              <w:adjustRightInd w:val="0"/>
              <w:snapToGrid w:val="0"/>
              <w:spacing w:before="0" w:after="0" w:line="240" w:lineRule="auto"/>
              <w:jc w:val="both"/>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2.合法有效</w:t>
            </w:r>
          </w:p>
        </w:tc>
        <w:tc>
          <w:tcPr>
            <w:tcW w:w="986"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62"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888"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68" w:type="dxa"/>
            <w:noWrap w:val="0"/>
            <w:vAlign w:val="center"/>
          </w:tcPr>
          <w:p>
            <w:pPr>
              <w:snapToGrid w:val="0"/>
              <w:jc w:val="center"/>
              <w:rPr>
                <w:rFonts w:hint="eastAsia" w:ascii="仿宋" w:hAnsi="仿宋" w:eastAsia="仿宋" w:cs="仿宋"/>
                <w:color w:val="auto"/>
                <w:highlight w:val="none"/>
              </w:rPr>
            </w:pPr>
            <w:r>
              <w:rPr>
                <w:rFonts w:hint="eastAsia" w:ascii="仿宋" w:hAnsi="仿宋" w:eastAsia="仿宋" w:cs="仿宋"/>
                <w:color w:val="auto"/>
                <w:highlight w:val="none"/>
              </w:rPr>
              <w:t>14</w:t>
            </w:r>
          </w:p>
        </w:tc>
        <w:tc>
          <w:tcPr>
            <w:tcW w:w="3837" w:type="dxa"/>
            <w:noWrap w:val="0"/>
            <w:vAlign w:val="center"/>
          </w:tcPr>
          <w:p>
            <w:pPr>
              <w:snapToGrid w:val="0"/>
              <w:jc w:val="left"/>
              <w:rPr>
                <w:rFonts w:hint="eastAsia" w:ascii="仿宋" w:hAnsi="仿宋" w:eastAsia="仿宋" w:cs="仿宋"/>
                <w:color w:val="auto"/>
                <w:highlight w:val="none"/>
              </w:rPr>
            </w:pPr>
            <w:r>
              <w:rPr>
                <w:rFonts w:hint="eastAsia" w:ascii="仿宋" w:hAnsi="仿宋" w:eastAsia="仿宋" w:cs="仿宋"/>
                <w:color w:val="auto"/>
                <w:highlight w:val="none"/>
              </w:rPr>
              <w:t>信用记录（</w:t>
            </w:r>
            <w:r>
              <w:rPr>
                <w:rFonts w:hint="eastAsia" w:ascii="仿宋" w:hAnsi="仿宋" w:eastAsia="仿宋" w:cs="仿宋"/>
                <w:color w:val="auto"/>
                <w:szCs w:val="21"/>
                <w:highlight w:val="none"/>
              </w:rPr>
              <w:t>采购人或采购代理机构将按照招标文件规定的审查期间内进行查询</w:t>
            </w:r>
            <w:r>
              <w:rPr>
                <w:rFonts w:hint="eastAsia" w:ascii="仿宋" w:hAnsi="仿宋" w:eastAsia="仿宋" w:cs="仿宋"/>
                <w:color w:val="auto"/>
                <w:highlight w:val="none"/>
              </w:rPr>
              <w:t>）</w:t>
            </w:r>
          </w:p>
        </w:tc>
        <w:tc>
          <w:tcPr>
            <w:tcW w:w="1982" w:type="dxa"/>
            <w:noWrap w:val="0"/>
            <w:vAlign w:val="center"/>
          </w:tcPr>
          <w:p>
            <w:pPr>
              <w:pStyle w:val="3"/>
              <w:adjustRightInd w:val="0"/>
              <w:snapToGrid w:val="0"/>
              <w:spacing w:before="0" w:after="0" w:line="240" w:lineRule="auto"/>
              <w:jc w:val="both"/>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无投标须知22.2.1所述的不良记录</w:t>
            </w:r>
          </w:p>
        </w:tc>
        <w:tc>
          <w:tcPr>
            <w:tcW w:w="986"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62"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888"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68" w:type="dxa"/>
            <w:noWrap w:val="0"/>
            <w:vAlign w:val="center"/>
          </w:tcPr>
          <w:p>
            <w:pPr>
              <w:snapToGrid w:val="0"/>
              <w:jc w:val="center"/>
              <w:rPr>
                <w:rFonts w:hint="eastAsia" w:ascii="仿宋" w:hAnsi="仿宋" w:eastAsia="仿宋" w:cs="仿宋"/>
                <w:color w:val="auto"/>
                <w:highlight w:val="none"/>
              </w:rPr>
            </w:pPr>
          </w:p>
        </w:tc>
        <w:tc>
          <w:tcPr>
            <w:tcW w:w="3837" w:type="dxa"/>
            <w:noWrap w:val="0"/>
            <w:vAlign w:val="center"/>
          </w:tcPr>
          <w:p>
            <w:pPr>
              <w:snapToGrid w:val="0"/>
              <w:jc w:val="left"/>
              <w:rPr>
                <w:rFonts w:hint="eastAsia" w:ascii="仿宋" w:hAnsi="仿宋" w:eastAsia="仿宋" w:cs="仿宋"/>
                <w:color w:val="auto"/>
                <w:highlight w:val="none"/>
              </w:rPr>
            </w:pPr>
            <w:r>
              <w:rPr>
                <w:rFonts w:hint="eastAsia" w:ascii="仿宋" w:hAnsi="仿宋" w:eastAsia="仿宋" w:cs="仿宋"/>
                <w:color w:val="auto"/>
                <w:highlight w:val="none"/>
              </w:rPr>
              <w:t>……</w:t>
            </w:r>
          </w:p>
        </w:tc>
        <w:tc>
          <w:tcPr>
            <w:tcW w:w="1982" w:type="dxa"/>
            <w:noWrap w:val="0"/>
            <w:vAlign w:val="center"/>
          </w:tcPr>
          <w:p>
            <w:pPr>
              <w:pStyle w:val="3"/>
              <w:adjustRightInd w:val="0"/>
              <w:snapToGrid w:val="0"/>
              <w:spacing w:before="0" w:after="0" w:line="240" w:lineRule="auto"/>
              <w:jc w:val="both"/>
              <w:rPr>
                <w:rFonts w:hint="eastAsia" w:ascii="仿宋" w:hAnsi="仿宋" w:eastAsia="仿宋" w:cs="仿宋"/>
                <w:b w:val="0"/>
                <w:color w:val="auto"/>
                <w:sz w:val="21"/>
                <w:szCs w:val="21"/>
                <w:highlight w:val="none"/>
              </w:rPr>
            </w:pPr>
          </w:p>
        </w:tc>
        <w:tc>
          <w:tcPr>
            <w:tcW w:w="986"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62"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888"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68" w:type="dxa"/>
            <w:noWrap w:val="0"/>
            <w:vAlign w:val="center"/>
          </w:tcPr>
          <w:p>
            <w:pPr>
              <w:snapToGrid w:val="0"/>
              <w:jc w:val="center"/>
              <w:rPr>
                <w:rFonts w:hint="eastAsia" w:ascii="仿宋" w:hAnsi="仿宋" w:eastAsia="仿宋" w:cs="仿宋"/>
                <w:color w:val="auto"/>
                <w:highlight w:val="none"/>
              </w:rPr>
            </w:pPr>
          </w:p>
        </w:tc>
        <w:tc>
          <w:tcPr>
            <w:tcW w:w="3837" w:type="dxa"/>
            <w:noWrap w:val="0"/>
            <w:vAlign w:val="center"/>
          </w:tcPr>
          <w:p>
            <w:pPr>
              <w:snapToGrid w:val="0"/>
              <w:jc w:val="center"/>
              <w:rPr>
                <w:rFonts w:hint="eastAsia" w:ascii="仿宋" w:hAnsi="仿宋" w:eastAsia="仿宋" w:cs="仿宋"/>
                <w:color w:val="auto"/>
                <w:highlight w:val="none"/>
              </w:rPr>
            </w:pPr>
            <w:r>
              <w:rPr>
                <w:rFonts w:hint="eastAsia" w:ascii="仿宋" w:hAnsi="仿宋" w:eastAsia="仿宋" w:cs="仿宋"/>
                <w:color w:val="auto"/>
                <w:highlight w:val="none"/>
              </w:rPr>
              <w:t>结论</w:t>
            </w:r>
          </w:p>
        </w:tc>
        <w:tc>
          <w:tcPr>
            <w:tcW w:w="1982"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86"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62"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888"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r>
    </w:tbl>
    <w:p>
      <w:pPr>
        <w:snapToGrid w:val="0"/>
        <w:rPr>
          <w:rFonts w:hint="eastAsia" w:ascii="仿宋" w:hAnsi="仿宋" w:eastAsia="仿宋" w:cs="仿宋"/>
          <w:color w:val="auto"/>
          <w:highlight w:val="none"/>
        </w:rPr>
      </w:pPr>
      <w:r>
        <w:rPr>
          <w:rFonts w:hint="eastAsia" w:ascii="仿宋" w:hAnsi="仿宋" w:eastAsia="仿宋" w:cs="仿宋"/>
          <w:color w:val="auto"/>
          <w:highlight w:val="none"/>
        </w:rPr>
        <w:t>填表说明：1、每项内容审查合格，在表中填写“√”；不合格填写“×”</w:t>
      </w:r>
    </w:p>
    <w:p>
      <w:pPr>
        <w:snapToGrid w:val="0"/>
        <w:rPr>
          <w:rFonts w:hint="eastAsia" w:ascii="仿宋" w:hAnsi="仿宋" w:eastAsia="仿宋" w:cs="仿宋"/>
          <w:color w:val="auto"/>
          <w:highlight w:val="none"/>
        </w:rPr>
      </w:pPr>
      <w:r>
        <w:rPr>
          <w:rFonts w:hint="eastAsia" w:ascii="仿宋" w:hAnsi="仿宋" w:eastAsia="仿宋" w:cs="仿宋"/>
          <w:color w:val="auto"/>
          <w:highlight w:val="none"/>
        </w:rPr>
        <w:t xml:space="preserve">          2、审查结论填写“通过”或“不通过”</w:t>
      </w: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12"/>
        <w:widowControl w:val="0"/>
        <w:snapToGrid w:val="0"/>
        <w:spacing w:before="0" w:beforeAutospacing="0" w:after="0" w:afterAutospacing="0" w:line="480" w:lineRule="auto"/>
        <w:jc w:val="both"/>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审查人签字：</w:t>
      </w:r>
    </w:p>
    <w:p>
      <w:pPr>
        <w:pStyle w:val="12"/>
        <w:widowControl w:val="0"/>
        <w:snapToGrid w:val="0"/>
        <w:spacing w:before="0" w:beforeAutospacing="0" w:after="0" w:afterAutospacing="0" w:line="480" w:lineRule="auto"/>
        <w:jc w:val="both"/>
        <w:rPr>
          <w:rFonts w:hint="eastAsia" w:ascii="仿宋" w:hAnsi="仿宋" w:eastAsia="仿宋" w:cs="仿宋"/>
          <w:b/>
          <w:color w:val="auto"/>
          <w:sz w:val="21"/>
          <w:szCs w:val="21"/>
          <w:highlight w:val="none"/>
        </w:rPr>
      </w:pPr>
      <w:r>
        <w:rPr>
          <w:rFonts w:hint="eastAsia" w:ascii="仿宋" w:hAnsi="仿宋" w:eastAsia="仿宋" w:cs="仿宋"/>
          <w:bCs/>
          <w:color w:val="auto"/>
          <w:sz w:val="21"/>
          <w:szCs w:val="21"/>
          <w:highlight w:val="none"/>
        </w:rPr>
        <w:t>日      期：</w:t>
      </w:r>
    </w:p>
    <w:p>
      <w:pPr>
        <w:pStyle w:val="3"/>
        <w:adjustRightInd w:val="0"/>
        <w:snapToGrid w:val="0"/>
        <w:spacing w:before="0" w:after="0" w:line="240" w:lineRule="auto"/>
        <w:jc w:val="left"/>
        <w:rPr>
          <w:rFonts w:hint="eastAsia" w:ascii="仿宋" w:hAnsi="仿宋" w:eastAsia="仿宋" w:cs="仿宋"/>
          <w:color w:val="auto"/>
          <w:szCs w:val="28"/>
          <w:highlight w:val="none"/>
        </w:rPr>
      </w:pPr>
      <w:bookmarkStart w:id="146" w:name="_Toc11558_WPSOffice_Level2"/>
      <w:r>
        <w:rPr>
          <w:rFonts w:hint="eastAsia" w:ascii="仿宋" w:hAnsi="仿宋" w:eastAsia="仿宋" w:cs="仿宋"/>
          <w:color w:val="auto"/>
          <w:szCs w:val="28"/>
          <w:highlight w:val="none"/>
        </w:rPr>
        <w:t xml:space="preserve">附件2                  </w:t>
      </w:r>
    </w:p>
    <w:p>
      <w:pPr>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符合性审查表</w:t>
      </w:r>
      <w:bookmarkEnd w:id="146"/>
    </w:p>
    <w:tbl>
      <w:tblPr>
        <w:tblStyle w:val="14"/>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606"/>
        <w:gridCol w:w="3004"/>
        <w:gridCol w:w="1095"/>
        <w:gridCol w:w="985"/>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48" w:type="dxa"/>
            <w:vMerge w:val="restart"/>
            <w:noWrap w:val="0"/>
            <w:vAlign w:val="center"/>
          </w:tcPr>
          <w:p>
            <w:pPr>
              <w:ind w:left="-84" w:leftChars="-40" w:right="-75" w:rightChars="-36"/>
              <w:jc w:val="center"/>
              <w:rPr>
                <w:rFonts w:hint="eastAsia" w:ascii="仿宋" w:hAnsi="仿宋" w:eastAsia="仿宋" w:cs="仿宋"/>
                <w:color w:val="auto"/>
                <w:highlight w:val="none"/>
              </w:rPr>
            </w:pPr>
            <w:r>
              <w:rPr>
                <w:rFonts w:hint="eastAsia" w:ascii="仿宋" w:hAnsi="仿宋" w:eastAsia="仿宋" w:cs="仿宋"/>
                <w:color w:val="auto"/>
                <w:highlight w:val="none"/>
              </w:rPr>
              <w:t>序号</w:t>
            </w:r>
          </w:p>
        </w:tc>
        <w:tc>
          <w:tcPr>
            <w:tcW w:w="2606" w:type="dxa"/>
            <w:vMerge w:val="restart"/>
            <w:noWrap w:val="0"/>
            <w:vAlign w:val="center"/>
          </w:tcPr>
          <w:p>
            <w:pPr>
              <w:ind w:left="-84" w:leftChars="-40" w:right="-75" w:rightChars="-36"/>
              <w:jc w:val="center"/>
              <w:rPr>
                <w:rFonts w:hint="eastAsia" w:ascii="仿宋" w:hAnsi="仿宋" w:eastAsia="仿宋" w:cs="仿宋"/>
                <w:color w:val="auto"/>
                <w:highlight w:val="none"/>
              </w:rPr>
            </w:pPr>
            <w:r>
              <w:rPr>
                <w:rFonts w:hint="eastAsia" w:ascii="仿宋" w:hAnsi="仿宋" w:eastAsia="仿宋" w:cs="仿宋"/>
                <w:color w:val="auto"/>
                <w:highlight w:val="none"/>
              </w:rPr>
              <w:t>审查项目</w:t>
            </w:r>
          </w:p>
        </w:tc>
        <w:tc>
          <w:tcPr>
            <w:tcW w:w="3004" w:type="dxa"/>
            <w:vMerge w:val="restart"/>
            <w:noWrap w:val="0"/>
            <w:vAlign w:val="center"/>
          </w:tcPr>
          <w:p>
            <w:pPr>
              <w:ind w:left="-84" w:leftChars="-40" w:right="-75" w:rightChars="-36"/>
              <w:jc w:val="center"/>
              <w:rPr>
                <w:rFonts w:hint="eastAsia" w:ascii="仿宋" w:hAnsi="仿宋" w:eastAsia="仿宋" w:cs="仿宋"/>
                <w:color w:val="auto"/>
                <w:highlight w:val="none"/>
              </w:rPr>
            </w:pPr>
            <w:r>
              <w:rPr>
                <w:rFonts w:hint="eastAsia" w:ascii="仿宋" w:hAnsi="仿宋" w:eastAsia="仿宋" w:cs="仿宋"/>
                <w:color w:val="auto"/>
                <w:highlight w:val="none"/>
              </w:rPr>
              <w:t>审查标准</w:t>
            </w:r>
          </w:p>
        </w:tc>
        <w:tc>
          <w:tcPr>
            <w:tcW w:w="2992" w:type="dxa"/>
            <w:gridSpan w:val="3"/>
            <w:noWrap w:val="0"/>
            <w:vAlign w:val="center"/>
          </w:tcPr>
          <w:p>
            <w:pPr>
              <w:ind w:left="-84" w:leftChars="-40" w:right="-75" w:rightChars="-36"/>
              <w:jc w:val="center"/>
              <w:rPr>
                <w:rFonts w:hint="eastAsia" w:ascii="仿宋" w:hAnsi="仿宋" w:eastAsia="仿宋" w:cs="仿宋"/>
                <w:color w:val="auto"/>
                <w:highlight w:val="none"/>
              </w:rPr>
            </w:pPr>
            <w:r>
              <w:rPr>
                <w:rFonts w:hint="eastAsia" w:ascii="仿宋" w:hAnsi="仿宋" w:eastAsia="仿宋" w:cs="仿宋"/>
                <w:color w:val="auto"/>
                <w:highlight w:val="none"/>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48" w:type="dxa"/>
            <w:vMerge w:val="continue"/>
            <w:noWrap w:val="0"/>
            <w:vAlign w:val="center"/>
          </w:tcPr>
          <w:p>
            <w:pPr>
              <w:pStyle w:val="3"/>
              <w:adjustRightInd w:val="0"/>
              <w:snapToGrid w:val="0"/>
              <w:spacing w:before="0" w:after="0" w:line="240" w:lineRule="auto"/>
              <w:rPr>
                <w:rFonts w:hint="eastAsia" w:ascii="仿宋" w:hAnsi="仿宋" w:eastAsia="仿宋" w:cs="仿宋"/>
                <w:color w:val="auto"/>
                <w:highlight w:val="none"/>
              </w:rPr>
            </w:pPr>
          </w:p>
        </w:tc>
        <w:tc>
          <w:tcPr>
            <w:tcW w:w="2606" w:type="dxa"/>
            <w:vMerge w:val="continue"/>
            <w:noWrap w:val="0"/>
            <w:vAlign w:val="center"/>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3004" w:type="dxa"/>
            <w:vMerge w:val="continue"/>
            <w:noWrap w:val="0"/>
            <w:vAlign w:val="center"/>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1095" w:type="dxa"/>
            <w:noWrap w:val="0"/>
            <w:vAlign w:val="center"/>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85" w:type="dxa"/>
            <w:noWrap w:val="0"/>
            <w:vAlign w:val="center"/>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12" w:type="dxa"/>
            <w:noWrap w:val="0"/>
            <w:vAlign w:val="center"/>
          </w:tcPr>
          <w:p>
            <w:pPr>
              <w:pStyle w:val="3"/>
              <w:adjustRightInd w:val="0"/>
              <w:snapToGrid w:val="0"/>
              <w:spacing w:before="0" w:after="0"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648" w:type="dxa"/>
            <w:noWrap w:val="0"/>
            <w:vAlign w:val="center"/>
          </w:tcPr>
          <w:p>
            <w:pPr>
              <w:jc w:val="center"/>
              <w:rPr>
                <w:rFonts w:hint="eastAsia" w:ascii="仿宋" w:hAnsi="仿宋" w:eastAsia="仿宋" w:cs="仿宋"/>
                <w:color w:val="auto"/>
                <w:highlight w:val="none"/>
              </w:rPr>
            </w:pPr>
            <w:r>
              <w:rPr>
                <w:rFonts w:hint="eastAsia" w:ascii="仿宋" w:hAnsi="仿宋" w:eastAsia="仿宋" w:cs="仿宋"/>
                <w:color w:val="auto"/>
                <w:kern w:val="0"/>
                <w:sz w:val="20"/>
                <w:szCs w:val="21"/>
                <w:highlight w:val="none"/>
              </w:rPr>
              <w:t>1</w:t>
            </w:r>
          </w:p>
        </w:tc>
        <w:tc>
          <w:tcPr>
            <w:tcW w:w="2606" w:type="dxa"/>
            <w:noWrap w:val="0"/>
            <w:vAlign w:val="center"/>
          </w:tcPr>
          <w:p>
            <w:pPr>
              <w:rPr>
                <w:rFonts w:hint="eastAsia" w:ascii="仿宋" w:hAnsi="仿宋" w:eastAsia="仿宋" w:cs="仿宋"/>
                <w:b/>
                <w:color w:val="auto"/>
                <w:szCs w:val="21"/>
                <w:highlight w:val="none"/>
              </w:rPr>
            </w:pPr>
            <w:r>
              <w:rPr>
                <w:rFonts w:hint="eastAsia" w:ascii="仿宋" w:hAnsi="仿宋" w:eastAsia="仿宋" w:cs="仿宋"/>
                <w:color w:val="auto"/>
                <w:kern w:val="0"/>
                <w:szCs w:val="21"/>
                <w:highlight w:val="none"/>
              </w:rPr>
              <w:t>投标函</w:t>
            </w:r>
          </w:p>
        </w:tc>
        <w:tc>
          <w:tcPr>
            <w:tcW w:w="3004" w:type="dxa"/>
            <w:noWrap w:val="0"/>
            <w:vAlign w:val="top"/>
          </w:tcPr>
          <w:p>
            <w:pPr>
              <w:pStyle w:val="3"/>
              <w:adjustRightInd w:val="0"/>
              <w:snapToGrid w:val="0"/>
              <w:spacing w:before="0" w:after="0" w:line="240" w:lineRule="auto"/>
              <w:jc w:val="left"/>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1.按给定格式填写</w:t>
            </w:r>
          </w:p>
          <w:p>
            <w:pPr>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2.响应招标文件实质性要求</w:t>
            </w:r>
          </w:p>
          <w:p>
            <w:pPr>
              <w:pStyle w:val="3"/>
              <w:adjustRightInd w:val="0"/>
              <w:snapToGrid w:val="0"/>
              <w:spacing w:before="0" w:after="0" w:line="240" w:lineRule="auto"/>
              <w:jc w:val="left"/>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3.按规定签章</w:t>
            </w:r>
          </w:p>
        </w:tc>
        <w:tc>
          <w:tcPr>
            <w:tcW w:w="1095" w:type="dxa"/>
            <w:noWrap w:val="0"/>
            <w:vAlign w:val="center"/>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85" w:type="dxa"/>
            <w:noWrap w:val="0"/>
            <w:vAlign w:val="center"/>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12" w:type="dxa"/>
            <w:noWrap w:val="0"/>
            <w:vAlign w:val="center"/>
          </w:tcPr>
          <w:p>
            <w:pPr>
              <w:pStyle w:val="3"/>
              <w:adjustRightInd w:val="0"/>
              <w:snapToGrid w:val="0"/>
              <w:spacing w:before="0" w:after="0"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648" w:type="dxa"/>
            <w:noWrap w:val="0"/>
            <w:vAlign w:val="center"/>
          </w:tcPr>
          <w:p>
            <w:pPr>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2</w:t>
            </w:r>
          </w:p>
        </w:tc>
        <w:tc>
          <w:tcPr>
            <w:tcW w:w="2606" w:type="dxa"/>
            <w:noWrap w:val="0"/>
            <w:vAlign w:val="center"/>
          </w:tcPr>
          <w:p>
            <w:pP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递交投标保证金证明</w:t>
            </w:r>
          </w:p>
        </w:tc>
        <w:tc>
          <w:tcPr>
            <w:tcW w:w="3004" w:type="dxa"/>
            <w:noWrap w:val="0"/>
            <w:vAlign w:val="top"/>
          </w:tcPr>
          <w:p>
            <w:pPr>
              <w:pStyle w:val="3"/>
              <w:adjustRightInd w:val="0"/>
              <w:snapToGrid w:val="0"/>
              <w:spacing w:before="0" w:after="0" w:line="240" w:lineRule="auto"/>
              <w:jc w:val="left"/>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1.按要求提供</w:t>
            </w:r>
          </w:p>
          <w:p>
            <w:pPr>
              <w:pStyle w:val="3"/>
              <w:adjustRightInd w:val="0"/>
              <w:snapToGrid w:val="0"/>
              <w:spacing w:before="0" w:after="0" w:line="240" w:lineRule="auto"/>
              <w:jc w:val="left"/>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2.合法有效</w:t>
            </w:r>
          </w:p>
        </w:tc>
        <w:tc>
          <w:tcPr>
            <w:tcW w:w="1095"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85"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12"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648" w:type="dxa"/>
            <w:noWrap w:val="0"/>
            <w:vAlign w:val="center"/>
          </w:tcPr>
          <w:p>
            <w:pPr>
              <w:jc w:val="center"/>
              <w:rPr>
                <w:rFonts w:hint="eastAsia" w:ascii="仿宋" w:hAnsi="仿宋" w:eastAsia="仿宋" w:cs="仿宋"/>
                <w:color w:val="auto"/>
                <w:highlight w:val="none"/>
              </w:rPr>
            </w:pPr>
            <w:r>
              <w:rPr>
                <w:rFonts w:hint="eastAsia" w:ascii="仿宋" w:hAnsi="仿宋" w:eastAsia="仿宋" w:cs="仿宋"/>
                <w:color w:val="auto"/>
                <w:kern w:val="0"/>
                <w:szCs w:val="21"/>
                <w:highlight w:val="none"/>
              </w:rPr>
              <w:t>3</w:t>
            </w:r>
          </w:p>
        </w:tc>
        <w:tc>
          <w:tcPr>
            <w:tcW w:w="2606" w:type="dxa"/>
            <w:noWrap w:val="0"/>
            <w:vAlign w:val="center"/>
          </w:tcPr>
          <w:p>
            <w:pPr>
              <w:rPr>
                <w:rFonts w:hint="eastAsia" w:ascii="仿宋" w:hAnsi="仿宋" w:eastAsia="仿宋" w:cs="仿宋"/>
                <w:b/>
                <w:color w:val="auto"/>
                <w:szCs w:val="21"/>
                <w:highlight w:val="none"/>
              </w:rPr>
            </w:pPr>
            <w:r>
              <w:rPr>
                <w:rFonts w:hint="eastAsia" w:ascii="仿宋" w:hAnsi="仿宋" w:eastAsia="仿宋" w:cs="仿宋"/>
                <w:color w:val="auto"/>
                <w:kern w:val="0"/>
                <w:szCs w:val="21"/>
                <w:highlight w:val="none"/>
              </w:rPr>
              <w:t>开标一览表</w:t>
            </w:r>
          </w:p>
        </w:tc>
        <w:tc>
          <w:tcPr>
            <w:tcW w:w="3004" w:type="dxa"/>
            <w:noWrap w:val="0"/>
            <w:vAlign w:val="top"/>
          </w:tcPr>
          <w:p>
            <w:pPr>
              <w:pStyle w:val="3"/>
              <w:adjustRightInd w:val="0"/>
              <w:snapToGrid w:val="0"/>
              <w:spacing w:before="0" w:after="0" w:line="240" w:lineRule="auto"/>
              <w:jc w:val="left"/>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1.按给定格式填写</w:t>
            </w:r>
          </w:p>
          <w:p>
            <w:pPr>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2.响应招标文件实质性要求</w:t>
            </w:r>
          </w:p>
          <w:p>
            <w:pPr>
              <w:pStyle w:val="3"/>
              <w:adjustRightInd w:val="0"/>
              <w:snapToGrid w:val="0"/>
              <w:spacing w:before="0" w:after="0" w:line="240" w:lineRule="auto"/>
              <w:jc w:val="left"/>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3.按规定签章</w:t>
            </w:r>
          </w:p>
        </w:tc>
        <w:tc>
          <w:tcPr>
            <w:tcW w:w="1095"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85"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12"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648" w:type="dxa"/>
            <w:noWrap w:val="0"/>
            <w:vAlign w:val="center"/>
          </w:tcPr>
          <w:p>
            <w:pPr>
              <w:jc w:val="center"/>
              <w:rPr>
                <w:rFonts w:hint="eastAsia" w:ascii="仿宋" w:hAnsi="仿宋" w:eastAsia="仿宋" w:cs="仿宋"/>
                <w:color w:val="auto"/>
                <w:highlight w:val="none"/>
              </w:rPr>
            </w:pPr>
            <w:r>
              <w:rPr>
                <w:rFonts w:hint="eastAsia" w:ascii="仿宋" w:hAnsi="仿宋" w:eastAsia="仿宋" w:cs="仿宋"/>
                <w:color w:val="auto"/>
                <w:kern w:val="0"/>
                <w:szCs w:val="21"/>
                <w:highlight w:val="none"/>
              </w:rPr>
              <w:t>4</w:t>
            </w:r>
          </w:p>
        </w:tc>
        <w:tc>
          <w:tcPr>
            <w:tcW w:w="2606" w:type="dxa"/>
            <w:noWrap w:val="0"/>
            <w:vAlign w:val="center"/>
          </w:tcPr>
          <w:p>
            <w:pPr>
              <w:rPr>
                <w:rFonts w:hint="eastAsia" w:ascii="仿宋" w:hAnsi="仿宋" w:eastAsia="仿宋" w:cs="仿宋"/>
                <w:b/>
                <w:color w:val="auto"/>
                <w:szCs w:val="21"/>
                <w:highlight w:val="none"/>
              </w:rPr>
            </w:pPr>
            <w:r>
              <w:rPr>
                <w:rFonts w:hint="eastAsia" w:ascii="仿宋" w:hAnsi="仿宋" w:eastAsia="仿宋" w:cs="仿宋"/>
                <w:color w:val="auto"/>
                <w:kern w:val="0"/>
                <w:szCs w:val="21"/>
                <w:highlight w:val="none"/>
              </w:rPr>
              <w:t>分项报价表</w:t>
            </w:r>
          </w:p>
        </w:tc>
        <w:tc>
          <w:tcPr>
            <w:tcW w:w="3004" w:type="dxa"/>
            <w:noWrap w:val="0"/>
            <w:vAlign w:val="top"/>
          </w:tcPr>
          <w:p>
            <w:pPr>
              <w:pStyle w:val="3"/>
              <w:adjustRightInd w:val="0"/>
              <w:snapToGrid w:val="0"/>
              <w:spacing w:before="0" w:after="0" w:line="240" w:lineRule="auto"/>
              <w:jc w:val="left"/>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1.按给定格式填写，信息完整</w:t>
            </w:r>
          </w:p>
          <w:p>
            <w:pPr>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2.响应招标文件实质性要求</w:t>
            </w:r>
          </w:p>
          <w:p>
            <w:pPr>
              <w:pStyle w:val="3"/>
              <w:adjustRightInd w:val="0"/>
              <w:snapToGrid w:val="0"/>
              <w:spacing w:before="0" w:after="0" w:line="240" w:lineRule="auto"/>
              <w:jc w:val="left"/>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3.按规定签章</w:t>
            </w:r>
          </w:p>
        </w:tc>
        <w:tc>
          <w:tcPr>
            <w:tcW w:w="1095"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85"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12"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648" w:type="dxa"/>
            <w:noWrap w:val="0"/>
            <w:vAlign w:val="center"/>
          </w:tcPr>
          <w:p>
            <w:pPr>
              <w:jc w:val="center"/>
              <w:rPr>
                <w:rFonts w:hint="eastAsia" w:ascii="仿宋" w:hAnsi="仿宋" w:eastAsia="仿宋" w:cs="仿宋"/>
                <w:color w:val="auto"/>
                <w:highlight w:val="none"/>
              </w:rPr>
            </w:pPr>
            <w:r>
              <w:rPr>
                <w:rFonts w:hint="eastAsia" w:ascii="仿宋" w:hAnsi="仿宋" w:eastAsia="仿宋" w:cs="仿宋"/>
                <w:color w:val="auto"/>
                <w:kern w:val="0"/>
                <w:szCs w:val="21"/>
                <w:highlight w:val="none"/>
              </w:rPr>
              <w:t>5</w:t>
            </w:r>
          </w:p>
        </w:tc>
        <w:tc>
          <w:tcPr>
            <w:tcW w:w="2606" w:type="dxa"/>
            <w:noWrap w:val="0"/>
            <w:vAlign w:val="center"/>
          </w:tcPr>
          <w:p>
            <w:pPr>
              <w:rPr>
                <w:rFonts w:hint="eastAsia" w:ascii="仿宋" w:hAnsi="仿宋" w:eastAsia="仿宋" w:cs="仿宋"/>
                <w:b/>
                <w:color w:val="auto"/>
                <w:szCs w:val="21"/>
                <w:highlight w:val="none"/>
              </w:rPr>
            </w:pPr>
            <w:r>
              <w:rPr>
                <w:rFonts w:hint="eastAsia" w:ascii="仿宋" w:hAnsi="仿宋" w:eastAsia="仿宋" w:cs="仿宋"/>
                <w:color w:val="auto"/>
                <w:kern w:val="0"/>
                <w:szCs w:val="21"/>
                <w:highlight w:val="none"/>
              </w:rPr>
              <w:t>技术规格偏离表</w:t>
            </w:r>
          </w:p>
        </w:tc>
        <w:tc>
          <w:tcPr>
            <w:tcW w:w="3004" w:type="dxa"/>
            <w:noWrap w:val="0"/>
            <w:vAlign w:val="top"/>
          </w:tcPr>
          <w:p>
            <w:pPr>
              <w:pStyle w:val="3"/>
              <w:adjustRightInd w:val="0"/>
              <w:snapToGrid w:val="0"/>
              <w:spacing w:before="0" w:after="0" w:line="240" w:lineRule="auto"/>
              <w:jc w:val="left"/>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1.按给定格式及填表要求填写</w:t>
            </w:r>
          </w:p>
          <w:p>
            <w:pPr>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2.响应招标文件实质性要求</w:t>
            </w:r>
          </w:p>
          <w:p>
            <w:pPr>
              <w:pStyle w:val="3"/>
              <w:adjustRightInd w:val="0"/>
              <w:snapToGrid w:val="0"/>
              <w:spacing w:before="0" w:after="0" w:line="240" w:lineRule="auto"/>
              <w:jc w:val="left"/>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3.按规定签章</w:t>
            </w:r>
          </w:p>
        </w:tc>
        <w:tc>
          <w:tcPr>
            <w:tcW w:w="1095"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85"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12"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648" w:type="dxa"/>
            <w:noWrap w:val="0"/>
            <w:vAlign w:val="center"/>
          </w:tcPr>
          <w:p>
            <w:pPr>
              <w:jc w:val="center"/>
              <w:rPr>
                <w:rFonts w:hint="eastAsia" w:ascii="仿宋" w:hAnsi="仿宋" w:eastAsia="仿宋" w:cs="仿宋"/>
                <w:color w:val="auto"/>
                <w:highlight w:val="none"/>
              </w:rPr>
            </w:pPr>
            <w:r>
              <w:rPr>
                <w:rFonts w:hint="eastAsia" w:ascii="仿宋" w:hAnsi="仿宋" w:eastAsia="仿宋" w:cs="仿宋"/>
                <w:color w:val="auto"/>
                <w:kern w:val="0"/>
                <w:szCs w:val="21"/>
                <w:highlight w:val="none"/>
              </w:rPr>
              <w:t>6</w:t>
            </w:r>
          </w:p>
        </w:tc>
        <w:tc>
          <w:tcPr>
            <w:tcW w:w="2606" w:type="dxa"/>
            <w:noWrap w:val="0"/>
            <w:vAlign w:val="center"/>
          </w:tcPr>
          <w:p>
            <w:pPr>
              <w:rPr>
                <w:rFonts w:hint="eastAsia" w:ascii="仿宋" w:hAnsi="仿宋" w:eastAsia="仿宋" w:cs="仿宋"/>
                <w:b/>
                <w:color w:val="auto"/>
                <w:szCs w:val="21"/>
                <w:highlight w:val="none"/>
              </w:rPr>
            </w:pPr>
            <w:r>
              <w:rPr>
                <w:rFonts w:hint="eastAsia" w:ascii="仿宋" w:hAnsi="仿宋" w:eastAsia="仿宋" w:cs="仿宋"/>
                <w:color w:val="auto"/>
                <w:kern w:val="0"/>
                <w:szCs w:val="21"/>
                <w:highlight w:val="none"/>
              </w:rPr>
              <w:t>商务条款偏离表</w:t>
            </w:r>
          </w:p>
        </w:tc>
        <w:tc>
          <w:tcPr>
            <w:tcW w:w="3004" w:type="dxa"/>
            <w:noWrap w:val="0"/>
            <w:vAlign w:val="top"/>
          </w:tcPr>
          <w:p>
            <w:pPr>
              <w:pStyle w:val="3"/>
              <w:adjustRightInd w:val="0"/>
              <w:snapToGrid w:val="0"/>
              <w:spacing w:before="0" w:after="0" w:line="240" w:lineRule="auto"/>
              <w:jc w:val="left"/>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1.按给定格式及填表要求填写</w:t>
            </w:r>
          </w:p>
          <w:p>
            <w:pPr>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2.响应招标文件实质性要求</w:t>
            </w:r>
          </w:p>
          <w:p>
            <w:pPr>
              <w:pStyle w:val="3"/>
              <w:adjustRightInd w:val="0"/>
              <w:snapToGrid w:val="0"/>
              <w:spacing w:before="0" w:after="0" w:line="240" w:lineRule="auto"/>
              <w:jc w:val="left"/>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3.按规定签章</w:t>
            </w:r>
          </w:p>
        </w:tc>
        <w:tc>
          <w:tcPr>
            <w:tcW w:w="1095"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85"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12"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648" w:type="dxa"/>
            <w:noWrap w:val="0"/>
            <w:vAlign w:val="center"/>
          </w:tcPr>
          <w:p>
            <w:pPr>
              <w:jc w:val="center"/>
              <w:rPr>
                <w:rFonts w:hint="eastAsia" w:ascii="仿宋" w:hAnsi="仿宋" w:eastAsia="仿宋" w:cs="仿宋"/>
                <w:color w:val="auto"/>
                <w:highlight w:val="none"/>
              </w:rPr>
            </w:pPr>
            <w:r>
              <w:rPr>
                <w:rFonts w:hint="eastAsia" w:ascii="仿宋" w:hAnsi="仿宋" w:eastAsia="仿宋" w:cs="仿宋"/>
                <w:color w:val="auto"/>
                <w:kern w:val="0"/>
                <w:szCs w:val="21"/>
                <w:highlight w:val="none"/>
              </w:rPr>
              <w:t>7</w:t>
            </w:r>
          </w:p>
        </w:tc>
        <w:tc>
          <w:tcPr>
            <w:tcW w:w="2606" w:type="dxa"/>
            <w:noWrap w:val="0"/>
            <w:vAlign w:val="center"/>
          </w:tcPr>
          <w:p>
            <w:pPr>
              <w:rPr>
                <w:rFonts w:hint="eastAsia" w:ascii="仿宋" w:hAnsi="仿宋" w:eastAsia="仿宋" w:cs="仿宋"/>
                <w:b/>
                <w:color w:val="auto"/>
                <w:szCs w:val="21"/>
                <w:highlight w:val="none"/>
              </w:rPr>
            </w:pPr>
            <w:r>
              <w:rPr>
                <w:rFonts w:hint="eastAsia" w:ascii="仿宋" w:hAnsi="仿宋" w:eastAsia="仿宋" w:cs="仿宋"/>
                <w:color w:val="auto"/>
                <w:kern w:val="0"/>
                <w:szCs w:val="21"/>
                <w:highlight w:val="none"/>
              </w:rPr>
              <w:t>投标人关联单位说明</w:t>
            </w:r>
          </w:p>
        </w:tc>
        <w:tc>
          <w:tcPr>
            <w:tcW w:w="3004" w:type="dxa"/>
            <w:noWrap w:val="0"/>
            <w:vAlign w:val="center"/>
          </w:tcPr>
          <w:p>
            <w:pPr>
              <w:pStyle w:val="3"/>
              <w:adjustRightInd w:val="0"/>
              <w:snapToGrid w:val="0"/>
              <w:spacing w:before="0" w:after="0" w:line="240" w:lineRule="auto"/>
              <w:jc w:val="both"/>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无投标须知1.5所述情形</w:t>
            </w:r>
          </w:p>
        </w:tc>
        <w:tc>
          <w:tcPr>
            <w:tcW w:w="1095"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85"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12"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48" w:type="dxa"/>
            <w:noWrap w:val="0"/>
            <w:vAlign w:val="center"/>
          </w:tcPr>
          <w:p>
            <w:pPr>
              <w:jc w:val="center"/>
              <w:rPr>
                <w:rFonts w:hint="eastAsia" w:ascii="仿宋" w:hAnsi="仿宋" w:eastAsia="仿宋" w:cs="仿宋"/>
                <w:color w:val="auto"/>
                <w:highlight w:val="none"/>
              </w:rPr>
            </w:pPr>
            <w:r>
              <w:rPr>
                <w:rFonts w:hint="eastAsia" w:ascii="仿宋" w:hAnsi="仿宋" w:eastAsia="仿宋" w:cs="仿宋"/>
                <w:color w:val="auto"/>
                <w:kern w:val="0"/>
                <w:szCs w:val="21"/>
                <w:highlight w:val="none"/>
              </w:rPr>
              <w:t>8</w:t>
            </w:r>
          </w:p>
        </w:tc>
        <w:tc>
          <w:tcPr>
            <w:tcW w:w="2606" w:type="dxa"/>
            <w:noWrap w:val="0"/>
            <w:vAlign w:val="center"/>
          </w:tcPr>
          <w:p>
            <w:pPr>
              <w:rPr>
                <w:rFonts w:hint="eastAsia" w:ascii="仿宋" w:hAnsi="仿宋" w:eastAsia="仿宋" w:cs="仿宋"/>
                <w:b/>
                <w:color w:val="auto"/>
                <w:szCs w:val="21"/>
                <w:highlight w:val="none"/>
              </w:rPr>
            </w:pPr>
            <w:r>
              <w:rPr>
                <w:rFonts w:hint="eastAsia" w:ascii="仿宋" w:hAnsi="仿宋" w:eastAsia="仿宋" w:cs="仿宋"/>
                <w:color w:val="auto"/>
                <w:kern w:val="0"/>
                <w:szCs w:val="21"/>
                <w:highlight w:val="none"/>
              </w:rPr>
              <w:t>《品目清单》.《节能产品认证证书》（政府强制采购的节能产品须提供）</w:t>
            </w:r>
          </w:p>
        </w:tc>
        <w:tc>
          <w:tcPr>
            <w:tcW w:w="3004" w:type="dxa"/>
            <w:noWrap w:val="0"/>
            <w:vAlign w:val="center"/>
          </w:tcPr>
          <w:p>
            <w:pPr>
              <w:pStyle w:val="3"/>
              <w:adjustRightInd w:val="0"/>
              <w:snapToGrid w:val="0"/>
              <w:spacing w:before="0" w:after="0" w:line="240" w:lineRule="auto"/>
              <w:jc w:val="left"/>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1.按要求提供</w:t>
            </w:r>
          </w:p>
          <w:p>
            <w:pPr>
              <w:pStyle w:val="3"/>
              <w:adjustRightInd w:val="0"/>
              <w:snapToGrid w:val="0"/>
              <w:spacing w:before="0" w:after="0" w:line="240" w:lineRule="auto"/>
              <w:jc w:val="left"/>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2.合法有效</w:t>
            </w:r>
          </w:p>
        </w:tc>
        <w:tc>
          <w:tcPr>
            <w:tcW w:w="1095"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85"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12"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48" w:type="dxa"/>
            <w:noWrap w:val="0"/>
            <w:vAlign w:val="center"/>
          </w:tcPr>
          <w:p>
            <w:pPr>
              <w:jc w:val="center"/>
              <w:rPr>
                <w:rFonts w:hint="eastAsia" w:ascii="仿宋" w:hAnsi="仿宋" w:eastAsia="仿宋" w:cs="仿宋"/>
                <w:color w:val="auto"/>
                <w:highlight w:val="none"/>
              </w:rPr>
            </w:pPr>
            <w:r>
              <w:rPr>
                <w:rFonts w:hint="eastAsia" w:ascii="仿宋" w:hAnsi="仿宋" w:eastAsia="仿宋" w:cs="仿宋"/>
                <w:color w:val="auto"/>
                <w:kern w:val="0"/>
                <w:szCs w:val="21"/>
                <w:highlight w:val="none"/>
              </w:rPr>
              <w:t>9</w:t>
            </w:r>
          </w:p>
        </w:tc>
        <w:tc>
          <w:tcPr>
            <w:tcW w:w="2606" w:type="dxa"/>
            <w:noWrap w:val="0"/>
            <w:vAlign w:val="center"/>
          </w:tcPr>
          <w:p>
            <w:pPr>
              <w:rPr>
                <w:rFonts w:hint="eastAsia" w:ascii="仿宋" w:hAnsi="仿宋" w:eastAsia="仿宋" w:cs="仿宋"/>
                <w:b/>
                <w:color w:val="auto"/>
                <w:szCs w:val="21"/>
                <w:highlight w:val="none"/>
              </w:rPr>
            </w:pPr>
            <w:r>
              <w:rPr>
                <w:rFonts w:hint="eastAsia" w:ascii="仿宋" w:hAnsi="仿宋" w:eastAsia="仿宋" w:cs="仿宋"/>
                <w:color w:val="auto"/>
                <w:kern w:val="0"/>
                <w:szCs w:val="21"/>
                <w:highlight w:val="none"/>
              </w:rPr>
              <w:t>其他符合性证明材料</w:t>
            </w:r>
          </w:p>
        </w:tc>
        <w:tc>
          <w:tcPr>
            <w:tcW w:w="3004" w:type="dxa"/>
            <w:noWrap w:val="0"/>
            <w:vAlign w:val="center"/>
          </w:tcPr>
          <w:p>
            <w:pPr>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响应招标文件实质性要求</w:t>
            </w:r>
          </w:p>
        </w:tc>
        <w:tc>
          <w:tcPr>
            <w:tcW w:w="1095"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85"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12"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48" w:type="dxa"/>
            <w:noWrap w:val="0"/>
            <w:vAlign w:val="center"/>
          </w:tcPr>
          <w:p>
            <w:pPr>
              <w:snapToGrid w:val="0"/>
              <w:jc w:val="center"/>
              <w:rPr>
                <w:rFonts w:hint="eastAsia" w:ascii="仿宋" w:hAnsi="仿宋" w:eastAsia="仿宋" w:cs="仿宋"/>
                <w:color w:val="auto"/>
                <w:highlight w:val="none"/>
              </w:rPr>
            </w:pPr>
            <w:r>
              <w:rPr>
                <w:rFonts w:hint="eastAsia" w:ascii="仿宋" w:hAnsi="仿宋" w:eastAsia="仿宋" w:cs="仿宋"/>
                <w:color w:val="auto"/>
                <w:szCs w:val="21"/>
                <w:highlight w:val="none"/>
              </w:rPr>
              <w:t>10</w:t>
            </w:r>
          </w:p>
        </w:tc>
        <w:tc>
          <w:tcPr>
            <w:tcW w:w="2606" w:type="dxa"/>
            <w:noWrap w:val="0"/>
            <w:vAlign w:val="center"/>
          </w:tcPr>
          <w:p>
            <w:pPr>
              <w:snapToGrid w:val="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投标报价</w:t>
            </w:r>
          </w:p>
        </w:tc>
        <w:tc>
          <w:tcPr>
            <w:tcW w:w="3004" w:type="dxa"/>
            <w:noWrap w:val="0"/>
            <w:vAlign w:val="top"/>
          </w:tcPr>
          <w:p>
            <w:pPr>
              <w:pStyle w:val="3"/>
              <w:adjustRightInd w:val="0"/>
              <w:snapToGrid w:val="0"/>
              <w:spacing w:before="0" w:after="0" w:line="240" w:lineRule="auto"/>
              <w:jc w:val="left"/>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1.响应招标文件实质性要求</w:t>
            </w:r>
          </w:p>
          <w:p>
            <w:pPr>
              <w:pStyle w:val="3"/>
              <w:adjustRightInd w:val="0"/>
              <w:snapToGrid w:val="0"/>
              <w:spacing w:before="0" w:after="0" w:line="240" w:lineRule="auto"/>
              <w:jc w:val="left"/>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2.无投标须知26.2所述情形</w:t>
            </w:r>
          </w:p>
        </w:tc>
        <w:tc>
          <w:tcPr>
            <w:tcW w:w="1095"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85"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12"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48" w:type="dxa"/>
            <w:noWrap w:val="0"/>
            <w:vAlign w:val="center"/>
          </w:tcPr>
          <w:p>
            <w:pPr>
              <w:snapToGrid w:val="0"/>
              <w:jc w:val="center"/>
              <w:rPr>
                <w:rFonts w:hint="eastAsia" w:ascii="仿宋" w:hAnsi="仿宋" w:eastAsia="仿宋" w:cs="仿宋"/>
                <w:color w:val="auto"/>
                <w:highlight w:val="none"/>
              </w:rPr>
            </w:pPr>
            <w:r>
              <w:rPr>
                <w:rFonts w:hint="eastAsia" w:ascii="仿宋" w:hAnsi="仿宋" w:eastAsia="仿宋" w:cs="仿宋"/>
                <w:color w:val="auto"/>
                <w:szCs w:val="21"/>
                <w:highlight w:val="none"/>
              </w:rPr>
              <w:t>11</w:t>
            </w:r>
          </w:p>
        </w:tc>
        <w:tc>
          <w:tcPr>
            <w:tcW w:w="2606" w:type="dxa"/>
            <w:noWrap w:val="0"/>
            <w:vAlign w:val="center"/>
          </w:tcPr>
          <w:p>
            <w:pPr>
              <w:snapToGrid w:val="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样品或演示（如适用）</w:t>
            </w:r>
          </w:p>
        </w:tc>
        <w:tc>
          <w:tcPr>
            <w:tcW w:w="3004" w:type="dxa"/>
            <w:noWrap w:val="0"/>
            <w:vAlign w:val="center"/>
          </w:tcPr>
          <w:p>
            <w:pPr>
              <w:pStyle w:val="3"/>
              <w:adjustRightInd w:val="0"/>
              <w:snapToGrid w:val="0"/>
              <w:spacing w:before="0" w:after="0" w:line="240" w:lineRule="auto"/>
              <w:jc w:val="left"/>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符合投标须知表11.3及25.1所述全部要求</w:t>
            </w:r>
          </w:p>
        </w:tc>
        <w:tc>
          <w:tcPr>
            <w:tcW w:w="1095"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85"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12"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48" w:type="dxa"/>
            <w:noWrap w:val="0"/>
            <w:vAlign w:val="center"/>
          </w:tcPr>
          <w:p>
            <w:pPr>
              <w:snapToGrid w:val="0"/>
              <w:jc w:val="center"/>
              <w:rPr>
                <w:rFonts w:hint="eastAsia" w:ascii="仿宋" w:hAnsi="仿宋" w:eastAsia="仿宋" w:cs="仿宋"/>
                <w:color w:val="auto"/>
                <w:highlight w:val="none"/>
              </w:rPr>
            </w:pPr>
          </w:p>
        </w:tc>
        <w:tc>
          <w:tcPr>
            <w:tcW w:w="2606" w:type="dxa"/>
            <w:noWrap w:val="0"/>
            <w:vAlign w:val="center"/>
          </w:tcPr>
          <w:p>
            <w:pPr>
              <w:snapToGri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结论</w:t>
            </w:r>
          </w:p>
        </w:tc>
        <w:tc>
          <w:tcPr>
            <w:tcW w:w="3004"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1095"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85"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c>
          <w:tcPr>
            <w:tcW w:w="912" w:type="dxa"/>
            <w:noWrap w:val="0"/>
            <w:vAlign w:val="top"/>
          </w:tcPr>
          <w:p>
            <w:pPr>
              <w:pStyle w:val="3"/>
              <w:adjustRightInd w:val="0"/>
              <w:snapToGrid w:val="0"/>
              <w:spacing w:before="0" w:after="0" w:line="240" w:lineRule="auto"/>
              <w:rPr>
                <w:rFonts w:hint="eastAsia" w:ascii="仿宋" w:hAnsi="仿宋" w:eastAsia="仿宋" w:cs="仿宋"/>
                <w:color w:val="auto"/>
                <w:sz w:val="21"/>
                <w:szCs w:val="21"/>
                <w:highlight w:val="none"/>
              </w:rPr>
            </w:pPr>
          </w:p>
        </w:tc>
      </w:tr>
    </w:tbl>
    <w:p>
      <w:pPr>
        <w:ind w:right="-630" w:rightChars="-300"/>
        <w:rPr>
          <w:rFonts w:hint="eastAsia" w:ascii="仿宋" w:hAnsi="仿宋" w:eastAsia="仿宋" w:cs="仿宋"/>
          <w:color w:val="auto"/>
          <w:highlight w:val="none"/>
        </w:rPr>
      </w:pPr>
      <w:r>
        <w:rPr>
          <w:rFonts w:hint="eastAsia" w:ascii="仿宋" w:hAnsi="仿宋" w:eastAsia="仿宋" w:cs="仿宋"/>
          <w:color w:val="auto"/>
          <w:highlight w:val="none"/>
        </w:rPr>
        <w:t>注：1、进口产品的制造厂家的授权书（可视具体情况调整至符合性证明材料及符合性审查表中）</w:t>
      </w:r>
    </w:p>
    <w:p>
      <w:pPr>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2、《辽宁省创新产品和服务目录》内产品、服务证明材料（可视具体情况调整至符合性证明材料及符合性审查表中）</w:t>
      </w:r>
    </w:p>
    <w:p>
      <w:pPr>
        <w:rPr>
          <w:rFonts w:hint="eastAsia" w:ascii="仿宋" w:hAnsi="仿宋" w:eastAsia="仿宋" w:cs="仿宋"/>
          <w:color w:val="auto"/>
          <w:highlight w:val="none"/>
        </w:rPr>
      </w:pPr>
      <w:r>
        <w:rPr>
          <w:rFonts w:hint="eastAsia" w:ascii="仿宋" w:hAnsi="仿宋" w:eastAsia="仿宋" w:cs="仿宋"/>
          <w:color w:val="auto"/>
          <w:highlight w:val="none"/>
        </w:rPr>
        <w:t>填表说明：1、每项内容审查合格，在表中填写“√”；不合格填写“×”</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          2、审查结论填写“通过”或“不通过”</w:t>
      </w: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12"/>
        <w:widowControl w:val="0"/>
        <w:snapToGrid w:val="0"/>
        <w:spacing w:before="0" w:beforeAutospacing="0" w:after="0" w:afterAutospacing="0" w:line="480" w:lineRule="auto"/>
        <w:ind w:left="5880" w:hanging="5880" w:hangingChars="28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审查人签字： </w:t>
      </w:r>
    </w:p>
    <w:p>
      <w:pPr>
        <w:pStyle w:val="12"/>
        <w:widowControl w:val="0"/>
        <w:snapToGrid w:val="0"/>
        <w:spacing w:before="0" w:beforeAutospacing="0" w:after="0" w:afterAutospacing="0" w:line="480" w:lineRule="auto"/>
        <w:ind w:left="5880" w:hanging="5880" w:hangingChars="2800"/>
        <w:rPr>
          <w:rFonts w:hint="eastAsia" w:ascii="仿宋" w:hAnsi="仿宋" w:eastAsia="仿宋" w:cs="仿宋"/>
          <w:b/>
          <w:color w:val="auto"/>
          <w:sz w:val="21"/>
          <w:szCs w:val="21"/>
          <w:highlight w:val="none"/>
        </w:rPr>
      </w:pPr>
      <w:r>
        <w:rPr>
          <w:rFonts w:hint="eastAsia" w:ascii="仿宋" w:hAnsi="仿宋" w:eastAsia="仿宋" w:cs="仿宋"/>
          <w:bCs/>
          <w:color w:val="auto"/>
          <w:sz w:val="21"/>
          <w:szCs w:val="21"/>
          <w:highlight w:val="none"/>
        </w:rPr>
        <w:t>日      期：</w:t>
      </w:r>
      <w:r>
        <w:rPr>
          <w:rFonts w:hint="eastAsia" w:ascii="仿宋" w:hAnsi="仿宋" w:eastAsia="仿宋" w:cs="仿宋"/>
          <w:b/>
          <w:color w:val="auto"/>
          <w:sz w:val="21"/>
          <w:szCs w:val="21"/>
          <w:highlight w:val="none"/>
        </w:rPr>
        <w:t xml:space="preserve"> </w:t>
      </w:r>
    </w:p>
    <w:p>
      <w:pPr>
        <w:pStyle w:val="3"/>
        <w:adjustRightInd w:val="0"/>
        <w:snapToGrid w:val="0"/>
        <w:spacing w:before="0" w:after="0" w:line="240" w:lineRule="auto"/>
        <w:jc w:val="left"/>
        <w:rPr>
          <w:rFonts w:hint="eastAsia" w:ascii="仿宋" w:hAnsi="仿宋" w:eastAsia="仿宋" w:cs="仿宋"/>
          <w:color w:val="auto"/>
          <w:sz w:val="32"/>
          <w:szCs w:val="32"/>
          <w:highlight w:val="none"/>
        </w:rPr>
      </w:pPr>
      <w:bookmarkStart w:id="147" w:name="_Toc17433_WPSOffice_Level2"/>
      <w:r>
        <w:rPr>
          <w:rFonts w:hint="eastAsia" w:ascii="仿宋" w:hAnsi="仿宋" w:eastAsia="仿宋" w:cs="仿宋"/>
          <w:color w:val="auto"/>
          <w:szCs w:val="28"/>
          <w:highlight w:val="none"/>
        </w:rPr>
        <w:t xml:space="preserve">附件3                   </w:t>
      </w:r>
      <w:r>
        <w:rPr>
          <w:rFonts w:hint="eastAsia" w:ascii="仿宋" w:hAnsi="仿宋" w:eastAsia="仿宋" w:cs="仿宋"/>
          <w:color w:val="auto"/>
          <w:sz w:val="32"/>
          <w:szCs w:val="32"/>
          <w:highlight w:val="none"/>
        </w:rPr>
        <w:t xml:space="preserve"> </w:t>
      </w:r>
    </w:p>
    <w:p>
      <w:pPr>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评分细则</w:t>
      </w:r>
      <w:bookmarkEnd w:id="147"/>
    </w:p>
    <w:p>
      <w:pPr>
        <w:jc w:val="center"/>
        <w:rPr>
          <w:rFonts w:hint="eastAsia" w:ascii="仿宋" w:hAnsi="仿宋" w:eastAsia="仿宋" w:cs="仿宋"/>
          <w:b/>
          <w:color w:val="auto"/>
          <w:sz w:val="28"/>
          <w:szCs w:val="28"/>
          <w:highlight w:val="none"/>
        </w:rPr>
      </w:pPr>
      <w:bookmarkStart w:id="148" w:name="_Toc28142_WPSOffice_Level2"/>
      <w:r>
        <w:rPr>
          <w:rFonts w:hint="eastAsia" w:ascii="仿宋" w:hAnsi="仿宋" w:eastAsia="仿宋" w:cs="仿宋"/>
          <w:b/>
          <w:color w:val="auto"/>
          <w:sz w:val="28"/>
          <w:szCs w:val="28"/>
          <w:highlight w:val="none"/>
        </w:rPr>
        <w:t>（综合评分法适用）</w:t>
      </w:r>
      <w:bookmarkEnd w:id="148"/>
    </w:p>
    <w:p>
      <w:pPr>
        <w:jc w:val="left"/>
        <w:rPr>
          <w:rFonts w:hint="eastAsia" w:ascii="仿宋" w:hAnsi="仿宋" w:eastAsia="仿宋" w:cs="仿宋"/>
          <w:b/>
          <w:color w:val="auto"/>
          <w:sz w:val="28"/>
          <w:szCs w:val="28"/>
          <w:highlight w:val="none"/>
        </w:rPr>
      </w:pPr>
      <w:r>
        <w:rPr>
          <w:rFonts w:hint="eastAsia" w:ascii="仿宋" w:hAnsi="仿宋" w:eastAsia="仿宋" w:cs="仿宋"/>
          <w:b/>
          <w:color w:val="auto"/>
          <w:szCs w:val="21"/>
          <w:highlight w:val="none"/>
        </w:rPr>
        <w:t>（一）基本评分标准</w:t>
      </w:r>
    </w:p>
    <w:tbl>
      <w:tblPr>
        <w:tblStyle w:val="14"/>
        <w:tblpPr w:leftFromText="180" w:rightFromText="180" w:vertAnchor="text" w:horzAnchor="margin" w:tblpXSpec="center" w:tblpY="10"/>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080"/>
        <w:gridCol w:w="576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包号</w:t>
            </w:r>
          </w:p>
        </w:tc>
        <w:tc>
          <w:tcPr>
            <w:tcW w:w="757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cs="仿宋"/>
                <w:color w:val="auto"/>
                <w:szCs w:val="21"/>
                <w:highlight w:val="none"/>
              </w:rPr>
            </w:pPr>
            <w:r>
              <w:rPr>
                <w:rFonts w:hint="eastAsia" w:ascii="仿宋" w:hAnsi="仿宋" w:cs="仿宋"/>
                <w:color w:val="auto"/>
                <w:szCs w:val="21"/>
                <w:highlight w:val="none"/>
              </w:rPr>
              <w:t>001包、002包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项目</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分项名称</w:t>
            </w:r>
          </w:p>
        </w:tc>
        <w:tc>
          <w:tcPr>
            <w:tcW w:w="57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评分标准</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价格部分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投标报价</w:t>
            </w:r>
          </w:p>
        </w:tc>
        <w:tc>
          <w:tcPr>
            <w:tcW w:w="576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cs="仿宋"/>
                <w:color w:val="auto"/>
                <w:szCs w:val="21"/>
                <w:highlight w:val="none"/>
              </w:rPr>
            </w:pPr>
            <w:r>
              <w:rPr>
                <w:rFonts w:hint="eastAsia" w:ascii="仿宋" w:hAnsi="仿宋" w:cs="仿宋"/>
                <w:color w:val="auto"/>
                <w:szCs w:val="21"/>
                <w:highlight w:val="none"/>
              </w:rPr>
              <w:t>满足招标文件要求且投标价格最低的投标报价为评标基准价，其价格分为满分。其他投标人的价格分统一按照下列公式计算：</w:t>
            </w:r>
          </w:p>
          <w:p>
            <w:pPr>
              <w:jc w:val="left"/>
              <w:rPr>
                <w:rFonts w:ascii="仿宋" w:hAnsi="仿宋" w:cs="仿宋"/>
                <w:color w:val="auto"/>
                <w:szCs w:val="21"/>
                <w:highlight w:val="none"/>
              </w:rPr>
            </w:pPr>
            <w:r>
              <w:rPr>
                <w:rFonts w:hint="eastAsia" w:ascii="仿宋" w:hAnsi="仿宋" w:cs="仿宋"/>
                <w:color w:val="auto"/>
                <w:szCs w:val="21"/>
                <w:highlight w:val="none"/>
              </w:rPr>
              <w:t>投标报价得分=(评标基准价／投标报价)×30</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技术部分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产品质量检测报告</w:t>
            </w:r>
          </w:p>
        </w:tc>
        <w:tc>
          <w:tcPr>
            <w:tcW w:w="576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cs="仿宋"/>
                <w:color w:val="auto"/>
                <w:szCs w:val="21"/>
                <w:highlight w:val="none"/>
              </w:rPr>
            </w:pPr>
            <w:r>
              <w:rPr>
                <w:rFonts w:hint="eastAsia" w:ascii="仿宋" w:hAnsi="仿宋" w:cs="仿宋"/>
                <w:color w:val="auto"/>
                <w:szCs w:val="21"/>
                <w:highlight w:val="none"/>
              </w:rPr>
              <w:t>提供肥料检验机构出具的产品质量检测报告。</w:t>
            </w:r>
          </w:p>
          <w:p>
            <w:pPr>
              <w:jc w:val="left"/>
              <w:rPr>
                <w:rFonts w:hint="eastAsia" w:ascii="仿宋" w:hAnsi="仿宋" w:cs="仿宋"/>
                <w:color w:val="auto"/>
                <w:szCs w:val="21"/>
                <w:highlight w:val="none"/>
              </w:rPr>
            </w:pPr>
            <w:r>
              <w:rPr>
                <w:rFonts w:hint="eastAsia" w:ascii="仿宋" w:hAnsi="仿宋" w:cs="仿宋"/>
                <w:color w:val="auto"/>
                <w:szCs w:val="21"/>
                <w:highlight w:val="none"/>
              </w:rPr>
              <w:t>有机肥项目含全项检测（有机质含量、酸碱度pH值、水分、总养分、蛔虫卵死亡率、总砷、总镉、总铅、总铬、总汞、种子发芽率指数、有机杂质的质量分数）检测合格且未检出重金属汞、砷，检测合格得3分。</w:t>
            </w:r>
          </w:p>
          <w:p>
            <w:pPr>
              <w:jc w:val="left"/>
              <w:rPr>
                <w:rFonts w:hint="eastAsia" w:ascii="仿宋" w:hAnsi="仿宋" w:cs="仿宋"/>
                <w:color w:val="auto"/>
                <w:szCs w:val="21"/>
                <w:highlight w:val="none"/>
              </w:rPr>
            </w:pPr>
            <w:r>
              <w:rPr>
                <w:rFonts w:hint="eastAsia" w:ascii="仿宋" w:hAnsi="仿宋" w:cs="仿宋"/>
                <w:color w:val="auto"/>
                <w:szCs w:val="21"/>
                <w:highlight w:val="none"/>
              </w:rPr>
              <w:t>有一项不合格不得分。</w:t>
            </w:r>
          </w:p>
          <w:p>
            <w:pPr>
              <w:jc w:val="left"/>
              <w:rPr>
                <w:rFonts w:hint="eastAsia" w:ascii="仿宋" w:hAnsi="仿宋" w:cs="仿宋"/>
                <w:color w:val="auto"/>
                <w:szCs w:val="21"/>
                <w:highlight w:val="none"/>
              </w:rPr>
            </w:pPr>
            <w:r>
              <w:rPr>
                <w:rFonts w:hint="eastAsia" w:ascii="仿宋" w:hAnsi="仿宋" w:cs="仿宋"/>
                <w:color w:val="auto"/>
                <w:szCs w:val="21"/>
                <w:highlight w:val="none"/>
              </w:rPr>
              <w:t>注：需提供检测报告复印件附在投标文件中并加盖公章，不提供不得分。</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供货方案</w:t>
            </w:r>
          </w:p>
        </w:tc>
        <w:tc>
          <w:tcPr>
            <w:tcW w:w="576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cs="仿宋"/>
                <w:color w:val="auto"/>
                <w:szCs w:val="21"/>
                <w:highlight w:val="none"/>
              </w:rPr>
            </w:pPr>
            <w:r>
              <w:rPr>
                <w:rFonts w:hint="eastAsia" w:ascii="仿宋" w:hAnsi="仿宋" w:cs="仿宋"/>
                <w:color w:val="auto"/>
                <w:szCs w:val="21"/>
                <w:highlight w:val="none"/>
              </w:rPr>
              <w:t>根据投标人供货方案编制的全面性、科学性、可行性、合理性及针对性等方面进行综合评审。</w:t>
            </w:r>
          </w:p>
          <w:p>
            <w:pPr>
              <w:jc w:val="left"/>
              <w:rPr>
                <w:rFonts w:hint="eastAsia" w:ascii="仿宋" w:hAnsi="仿宋" w:cs="仿宋"/>
                <w:color w:val="auto"/>
                <w:szCs w:val="21"/>
                <w:highlight w:val="none"/>
              </w:rPr>
            </w:pPr>
            <w:r>
              <w:rPr>
                <w:rFonts w:hint="eastAsia" w:ascii="仿宋" w:hAnsi="仿宋" w:cs="仿宋"/>
                <w:color w:val="auto"/>
                <w:szCs w:val="21"/>
                <w:highlight w:val="none"/>
              </w:rPr>
              <w:t>供货计划方案全面性强、科学性强、可行性强、合理性强及对本项目的针对性强，方案具体，内容齐全得的得10分；</w:t>
            </w:r>
          </w:p>
          <w:p>
            <w:pPr>
              <w:jc w:val="left"/>
              <w:rPr>
                <w:rFonts w:hint="eastAsia" w:ascii="仿宋" w:hAnsi="仿宋" w:cs="仿宋"/>
                <w:color w:val="auto"/>
                <w:szCs w:val="21"/>
                <w:highlight w:val="none"/>
              </w:rPr>
            </w:pPr>
            <w:r>
              <w:rPr>
                <w:rFonts w:hint="eastAsia" w:ascii="仿宋" w:hAnsi="仿宋" w:cs="仿宋"/>
                <w:color w:val="auto"/>
                <w:szCs w:val="21"/>
                <w:highlight w:val="none"/>
              </w:rPr>
              <w:t>供货计划方案比较全面、科学性较好、较为可行、较有合理性及对本项目有一定的针对性，方案比较具体，内容较齐全的得7分；</w:t>
            </w:r>
          </w:p>
          <w:p>
            <w:pPr>
              <w:jc w:val="left"/>
              <w:rPr>
                <w:rFonts w:hint="eastAsia" w:ascii="仿宋" w:hAnsi="仿宋" w:cs="仿宋"/>
                <w:color w:val="auto"/>
                <w:szCs w:val="21"/>
                <w:highlight w:val="none"/>
              </w:rPr>
            </w:pPr>
            <w:r>
              <w:rPr>
                <w:rFonts w:hint="eastAsia" w:ascii="仿宋" w:hAnsi="仿宋" w:cs="仿宋"/>
                <w:color w:val="auto"/>
                <w:szCs w:val="21"/>
                <w:highlight w:val="none"/>
              </w:rPr>
              <w:t>供货计划方案全面性差、科学性差、可行性差、合理性差及对本项目的针对性差，方案不具体、内容不全的得4分；未提供不得分。</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供货进度</w:t>
            </w:r>
          </w:p>
        </w:tc>
        <w:tc>
          <w:tcPr>
            <w:tcW w:w="576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cs="仿宋"/>
                <w:color w:val="auto"/>
                <w:szCs w:val="21"/>
                <w:highlight w:val="none"/>
              </w:rPr>
            </w:pPr>
            <w:r>
              <w:rPr>
                <w:rFonts w:hint="eastAsia" w:ascii="仿宋" w:hAnsi="仿宋" w:cs="仿宋"/>
                <w:color w:val="auto"/>
                <w:szCs w:val="21"/>
                <w:highlight w:val="none"/>
              </w:rPr>
              <w:t>对投标人提供的投标文件中阐述的供货进度进行评审。</w:t>
            </w:r>
          </w:p>
          <w:p>
            <w:pPr>
              <w:jc w:val="left"/>
              <w:rPr>
                <w:rFonts w:hint="eastAsia" w:ascii="仿宋" w:hAnsi="仿宋" w:cs="仿宋"/>
                <w:color w:val="auto"/>
                <w:szCs w:val="21"/>
                <w:highlight w:val="none"/>
              </w:rPr>
            </w:pPr>
            <w:r>
              <w:rPr>
                <w:rFonts w:hint="eastAsia" w:ascii="仿宋" w:hAnsi="仿宋" w:cs="仿宋"/>
                <w:color w:val="auto"/>
                <w:szCs w:val="21"/>
                <w:highlight w:val="none"/>
              </w:rPr>
              <w:t>供货进度科学合理、全部满足项目需求的得8分；</w:t>
            </w:r>
          </w:p>
          <w:p>
            <w:pPr>
              <w:jc w:val="left"/>
              <w:rPr>
                <w:rFonts w:hint="eastAsia" w:ascii="仿宋" w:hAnsi="仿宋" w:cs="仿宋"/>
                <w:color w:val="auto"/>
                <w:szCs w:val="21"/>
                <w:highlight w:val="none"/>
              </w:rPr>
            </w:pPr>
            <w:r>
              <w:rPr>
                <w:rFonts w:hint="eastAsia" w:ascii="仿宋" w:hAnsi="仿宋" w:cs="仿宋"/>
                <w:color w:val="auto"/>
                <w:szCs w:val="21"/>
                <w:highlight w:val="none"/>
              </w:rPr>
              <w:t>供货进度较为科学合理、较能满足项目需求的得5分；</w:t>
            </w:r>
          </w:p>
          <w:p>
            <w:pPr>
              <w:jc w:val="left"/>
              <w:rPr>
                <w:rFonts w:hint="eastAsia" w:ascii="仿宋" w:hAnsi="仿宋" w:cs="仿宋"/>
                <w:color w:val="auto"/>
                <w:szCs w:val="21"/>
                <w:highlight w:val="none"/>
              </w:rPr>
            </w:pPr>
            <w:r>
              <w:rPr>
                <w:rFonts w:hint="eastAsia" w:ascii="仿宋" w:hAnsi="仿宋" w:cs="仿宋"/>
                <w:color w:val="auto"/>
                <w:szCs w:val="21"/>
                <w:highlight w:val="none"/>
              </w:rPr>
              <w:t>供货进度安排缺乏合理性，基本满足项目需求的得2分；</w:t>
            </w:r>
          </w:p>
          <w:p>
            <w:pPr>
              <w:jc w:val="left"/>
              <w:rPr>
                <w:rFonts w:hint="eastAsia" w:ascii="仿宋" w:hAnsi="仿宋" w:cs="仿宋"/>
                <w:color w:val="auto"/>
                <w:szCs w:val="21"/>
                <w:highlight w:val="none"/>
              </w:rPr>
            </w:pPr>
            <w:r>
              <w:rPr>
                <w:rFonts w:hint="eastAsia" w:ascii="仿宋" w:hAnsi="仿宋" w:cs="仿宋"/>
                <w:color w:val="auto"/>
                <w:szCs w:val="21"/>
                <w:highlight w:val="none"/>
              </w:rPr>
              <w:t>未提供不得分。</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cs="仿宋"/>
                <w:color w:val="auto"/>
                <w:szCs w:val="21"/>
                <w:highlight w:val="none"/>
              </w:rPr>
            </w:pPr>
            <w:r>
              <w:rPr>
                <w:rFonts w:hint="eastAsia" w:ascii="仿宋" w:hAnsi="仿宋" w:cs="仿宋"/>
                <w:color w:val="auto"/>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质量保证措施</w:t>
            </w:r>
          </w:p>
        </w:tc>
        <w:tc>
          <w:tcPr>
            <w:tcW w:w="576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cs="仿宋"/>
                <w:color w:val="auto"/>
                <w:szCs w:val="21"/>
                <w:highlight w:val="none"/>
              </w:rPr>
            </w:pPr>
            <w:r>
              <w:rPr>
                <w:rFonts w:hint="eastAsia" w:ascii="仿宋" w:hAnsi="仿宋" w:cs="仿宋"/>
                <w:color w:val="auto"/>
                <w:szCs w:val="21"/>
                <w:highlight w:val="none"/>
              </w:rPr>
              <w:t>质量保证措施科学合理，适用性强，思路清晰，内容全面，充分体现针对性、安全性，能够根据实际情况制订可的得8分；</w:t>
            </w:r>
          </w:p>
          <w:p>
            <w:pPr>
              <w:jc w:val="left"/>
              <w:rPr>
                <w:rFonts w:hint="eastAsia" w:ascii="仿宋" w:hAnsi="仿宋" w:cs="仿宋"/>
                <w:color w:val="auto"/>
                <w:szCs w:val="21"/>
                <w:highlight w:val="none"/>
              </w:rPr>
            </w:pPr>
            <w:r>
              <w:rPr>
                <w:rFonts w:hint="eastAsia" w:ascii="仿宋" w:hAnsi="仿宋" w:cs="仿宋"/>
                <w:color w:val="auto"/>
                <w:szCs w:val="21"/>
                <w:highlight w:val="none"/>
              </w:rPr>
              <w:t>质量保证措施比较科学、切实可行的得5分；</w:t>
            </w:r>
          </w:p>
          <w:p>
            <w:pPr>
              <w:jc w:val="left"/>
              <w:rPr>
                <w:rFonts w:hint="eastAsia" w:ascii="仿宋" w:hAnsi="仿宋" w:cs="仿宋"/>
                <w:color w:val="auto"/>
                <w:szCs w:val="21"/>
                <w:highlight w:val="none"/>
              </w:rPr>
            </w:pPr>
            <w:r>
              <w:rPr>
                <w:rFonts w:hint="eastAsia" w:ascii="仿宋" w:hAnsi="仿宋" w:cs="仿宋"/>
                <w:color w:val="auto"/>
                <w:szCs w:val="21"/>
                <w:highlight w:val="none"/>
              </w:rPr>
              <w:t>质量保证措施措施性不科学、可行性差的得2分；</w:t>
            </w:r>
          </w:p>
          <w:p>
            <w:pPr>
              <w:jc w:val="left"/>
              <w:rPr>
                <w:rFonts w:hint="eastAsia" w:ascii="仿宋" w:hAnsi="仿宋" w:cs="仿宋"/>
                <w:color w:val="auto"/>
                <w:szCs w:val="21"/>
                <w:highlight w:val="none"/>
              </w:rPr>
            </w:pPr>
            <w:r>
              <w:rPr>
                <w:rFonts w:hint="eastAsia" w:ascii="仿宋" w:hAnsi="仿宋" w:cs="仿宋"/>
                <w:color w:val="auto"/>
                <w:szCs w:val="21"/>
                <w:highlight w:val="none"/>
              </w:rPr>
              <w:t>未提供不得分。</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环保管理与措施</w:t>
            </w:r>
          </w:p>
        </w:tc>
        <w:tc>
          <w:tcPr>
            <w:tcW w:w="576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cs="仿宋"/>
                <w:color w:val="auto"/>
                <w:szCs w:val="21"/>
                <w:highlight w:val="none"/>
              </w:rPr>
            </w:pPr>
            <w:r>
              <w:rPr>
                <w:rFonts w:hint="eastAsia" w:ascii="仿宋" w:hAnsi="仿宋" w:cs="仿宋"/>
                <w:color w:val="auto"/>
                <w:szCs w:val="21"/>
                <w:highlight w:val="none"/>
              </w:rPr>
              <w:t>环境保护、水土保持等方面措施满足项目实际需求措施非常详细，保障措施完善的得8分；</w:t>
            </w:r>
          </w:p>
          <w:p>
            <w:pPr>
              <w:jc w:val="left"/>
              <w:rPr>
                <w:rFonts w:hint="eastAsia" w:ascii="仿宋" w:hAnsi="仿宋" w:cs="仿宋"/>
                <w:color w:val="auto"/>
                <w:szCs w:val="21"/>
                <w:highlight w:val="none"/>
              </w:rPr>
            </w:pPr>
            <w:r>
              <w:rPr>
                <w:rFonts w:hint="eastAsia" w:ascii="仿宋" w:hAnsi="仿宋" w:cs="仿宋"/>
                <w:color w:val="auto"/>
                <w:szCs w:val="21"/>
                <w:highlight w:val="none"/>
              </w:rPr>
              <w:t>措施比较详细，保障措施基本完善的得5分；</w:t>
            </w:r>
          </w:p>
          <w:p>
            <w:pPr>
              <w:jc w:val="left"/>
              <w:rPr>
                <w:rFonts w:hint="eastAsia" w:ascii="仿宋" w:hAnsi="仿宋" w:cs="仿宋"/>
                <w:color w:val="auto"/>
                <w:szCs w:val="21"/>
                <w:highlight w:val="none"/>
              </w:rPr>
            </w:pPr>
            <w:r>
              <w:rPr>
                <w:rFonts w:hint="eastAsia" w:ascii="仿宋" w:hAnsi="仿宋" w:cs="仿宋"/>
                <w:color w:val="auto"/>
                <w:szCs w:val="21"/>
                <w:highlight w:val="none"/>
              </w:rPr>
              <w:t>措施不详细，保障措施一般的得2分；</w:t>
            </w:r>
          </w:p>
          <w:p>
            <w:pPr>
              <w:jc w:val="left"/>
              <w:rPr>
                <w:rFonts w:hint="eastAsia" w:ascii="仿宋" w:hAnsi="仿宋" w:cs="仿宋"/>
                <w:color w:val="auto"/>
                <w:szCs w:val="21"/>
                <w:highlight w:val="none"/>
              </w:rPr>
            </w:pPr>
            <w:r>
              <w:rPr>
                <w:rFonts w:hint="eastAsia" w:ascii="仿宋" w:hAnsi="仿宋" w:cs="仿宋"/>
                <w:color w:val="auto"/>
                <w:szCs w:val="21"/>
                <w:highlight w:val="none"/>
              </w:rPr>
              <w:t>未提供不得分。</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售后服务方案</w:t>
            </w:r>
          </w:p>
        </w:tc>
        <w:tc>
          <w:tcPr>
            <w:tcW w:w="576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cs="仿宋"/>
                <w:color w:val="auto"/>
                <w:szCs w:val="21"/>
                <w:highlight w:val="none"/>
              </w:rPr>
            </w:pPr>
            <w:r>
              <w:rPr>
                <w:rFonts w:hint="eastAsia" w:ascii="仿宋" w:hAnsi="仿宋" w:cs="仿宋"/>
                <w:color w:val="auto"/>
                <w:szCs w:val="21"/>
                <w:highlight w:val="none"/>
              </w:rPr>
              <w:t>根据对投标人编制的售后服务方案全面、具体、响应情况进行综合评审。</w:t>
            </w:r>
          </w:p>
          <w:p>
            <w:pPr>
              <w:jc w:val="left"/>
              <w:rPr>
                <w:rFonts w:hint="eastAsia" w:ascii="仿宋" w:hAnsi="仿宋" w:cs="仿宋"/>
                <w:color w:val="auto"/>
                <w:szCs w:val="21"/>
                <w:highlight w:val="none"/>
              </w:rPr>
            </w:pPr>
            <w:r>
              <w:rPr>
                <w:rFonts w:hint="eastAsia" w:ascii="仿宋" w:hAnsi="仿宋" w:cs="仿宋"/>
                <w:color w:val="auto"/>
                <w:szCs w:val="21"/>
                <w:highlight w:val="none"/>
              </w:rPr>
              <w:t>有完善的售后应对方案，售后服务方案科学合理，适用性强，思路清晰，内容全面，充分体现针对性、安全性，能够根据实际情况制订完全符合且响应及时的得10分；</w:t>
            </w:r>
          </w:p>
          <w:p>
            <w:pPr>
              <w:jc w:val="left"/>
              <w:rPr>
                <w:rFonts w:hint="eastAsia" w:ascii="仿宋" w:hAnsi="仿宋" w:cs="仿宋"/>
                <w:color w:val="auto"/>
                <w:szCs w:val="21"/>
                <w:highlight w:val="none"/>
              </w:rPr>
            </w:pPr>
            <w:r>
              <w:rPr>
                <w:rFonts w:hint="eastAsia" w:ascii="仿宋" w:hAnsi="仿宋" w:cs="仿宋"/>
                <w:color w:val="auto"/>
                <w:szCs w:val="21"/>
                <w:highlight w:val="none"/>
              </w:rPr>
              <w:t>售后服务方案基本完整，考虑问题周全，实施过程务实，各项指标均能完成的得7分；</w:t>
            </w:r>
          </w:p>
          <w:p>
            <w:pPr>
              <w:jc w:val="left"/>
              <w:rPr>
                <w:rFonts w:hint="eastAsia" w:ascii="仿宋" w:hAnsi="仿宋" w:cs="仿宋"/>
                <w:color w:val="auto"/>
                <w:szCs w:val="21"/>
                <w:highlight w:val="none"/>
              </w:rPr>
            </w:pPr>
            <w:r>
              <w:rPr>
                <w:rFonts w:hint="eastAsia" w:ascii="仿宋" w:hAnsi="仿宋" w:cs="仿宋"/>
                <w:color w:val="auto"/>
                <w:szCs w:val="21"/>
                <w:highlight w:val="none"/>
              </w:rPr>
              <w:t>售后服务方案能基本满足项目需要，不能较好的提供服务的得4分；</w:t>
            </w:r>
          </w:p>
          <w:p>
            <w:pPr>
              <w:jc w:val="left"/>
              <w:rPr>
                <w:rFonts w:hint="eastAsia" w:ascii="仿宋" w:hAnsi="仿宋" w:cs="仿宋"/>
                <w:color w:val="auto"/>
                <w:szCs w:val="21"/>
                <w:highlight w:val="none"/>
              </w:rPr>
            </w:pPr>
            <w:r>
              <w:rPr>
                <w:rFonts w:hint="eastAsia" w:ascii="仿宋" w:hAnsi="仿宋" w:cs="仿宋"/>
                <w:color w:val="auto"/>
                <w:szCs w:val="21"/>
                <w:highlight w:val="none"/>
              </w:rPr>
              <w:t>未提供不得分。</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应急方案</w:t>
            </w:r>
          </w:p>
        </w:tc>
        <w:tc>
          <w:tcPr>
            <w:tcW w:w="576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cs="仿宋"/>
                <w:color w:val="auto"/>
                <w:szCs w:val="21"/>
                <w:highlight w:val="none"/>
              </w:rPr>
            </w:pPr>
            <w:r>
              <w:rPr>
                <w:rFonts w:hint="eastAsia" w:ascii="仿宋" w:hAnsi="仿宋" w:cs="仿宋"/>
                <w:color w:val="auto"/>
                <w:szCs w:val="21"/>
                <w:highlight w:val="none"/>
              </w:rPr>
              <w:t>应急方案科学合理，适用性强，思路清晰，内容全面，充分体现针对性、安全性，能够根据实际情况制订的得6分；</w:t>
            </w:r>
          </w:p>
          <w:p>
            <w:pPr>
              <w:jc w:val="left"/>
              <w:rPr>
                <w:rFonts w:hint="eastAsia" w:ascii="仿宋" w:hAnsi="仿宋" w:cs="仿宋"/>
                <w:color w:val="auto"/>
                <w:szCs w:val="21"/>
                <w:highlight w:val="none"/>
              </w:rPr>
            </w:pPr>
            <w:r>
              <w:rPr>
                <w:rFonts w:hint="eastAsia" w:ascii="仿宋" w:hAnsi="仿宋" w:cs="仿宋"/>
                <w:color w:val="auto"/>
                <w:szCs w:val="21"/>
                <w:highlight w:val="none"/>
              </w:rPr>
              <w:t>应急方案比较合理，考虑问题周全，实施过程务实的得3分；</w:t>
            </w:r>
          </w:p>
          <w:p>
            <w:pPr>
              <w:jc w:val="left"/>
              <w:rPr>
                <w:rFonts w:hint="eastAsia" w:ascii="仿宋" w:hAnsi="仿宋" w:cs="仿宋"/>
                <w:color w:val="auto"/>
                <w:szCs w:val="21"/>
                <w:highlight w:val="none"/>
              </w:rPr>
            </w:pPr>
            <w:r>
              <w:rPr>
                <w:rFonts w:hint="eastAsia" w:ascii="仿宋" w:hAnsi="仿宋" w:cs="仿宋"/>
                <w:color w:val="auto"/>
                <w:szCs w:val="21"/>
                <w:highlight w:val="none"/>
              </w:rPr>
              <w:t>应急方案能基本满足项目需要的得1分；</w:t>
            </w:r>
          </w:p>
          <w:p>
            <w:pPr>
              <w:rPr>
                <w:rFonts w:hint="eastAsia" w:ascii="仿宋" w:hAnsi="仿宋" w:cs="仿宋"/>
                <w:color w:val="auto"/>
                <w:szCs w:val="21"/>
                <w:highlight w:val="none"/>
              </w:rPr>
            </w:pPr>
            <w:r>
              <w:rPr>
                <w:rFonts w:hint="eastAsia" w:ascii="仿宋" w:hAnsi="仿宋" w:cs="仿宋"/>
                <w:color w:val="auto"/>
                <w:szCs w:val="21"/>
                <w:highlight w:val="none"/>
              </w:rPr>
              <w:t>未提供不得分。</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人员配置要求</w:t>
            </w:r>
          </w:p>
        </w:tc>
        <w:tc>
          <w:tcPr>
            <w:tcW w:w="576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cs="仿宋"/>
                <w:color w:val="auto"/>
                <w:szCs w:val="21"/>
                <w:highlight w:val="none"/>
              </w:rPr>
            </w:pPr>
            <w:r>
              <w:rPr>
                <w:rFonts w:hint="eastAsia" w:ascii="仿宋" w:hAnsi="仿宋" w:cs="仿宋"/>
                <w:color w:val="auto"/>
                <w:szCs w:val="21"/>
                <w:highlight w:val="none"/>
              </w:rPr>
              <w:t>供应商拟投入本项目人员配置方案完善（包括项目管理人员及技术人员)情况：</w:t>
            </w:r>
          </w:p>
          <w:p>
            <w:pPr>
              <w:jc w:val="left"/>
              <w:rPr>
                <w:rFonts w:hint="eastAsia" w:ascii="仿宋" w:hAnsi="仿宋" w:cs="仿宋"/>
                <w:color w:val="auto"/>
                <w:szCs w:val="21"/>
                <w:highlight w:val="none"/>
              </w:rPr>
            </w:pPr>
            <w:r>
              <w:rPr>
                <w:rFonts w:hint="eastAsia" w:ascii="仿宋" w:hAnsi="仿宋" w:cs="仿宋"/>
                <w:color w:val="auto"/>
                <w:szCs w:val="21"/>
                <w:highlight w:val="none"/>
              </w:rPr>
              <w:t>配置人员数量充足、人员结构合理的得8分；</w:t>
            </w:r>
          </w:p>
          <w:p>
            <w:pPr>
              <w:jc w:val="left"/>
              <w:rPr>
                <w:rFonts w:hint="eastAsia" w:ascii="仿宋" w:hAnsi="仿宋" w:cs="仿宋"/>
                <w:color w:val="auto"/>
                <w:szCs w:val="21"/>
                <w:highlight w:val="none"/>
              </w:rPr>
            </w:pPr>
            <w:r>
              <w:rPr>
                <w:rFonts w:hint="eastAsia" w:ascii="仿宋" w:hAnsi="仿宋" w:cs="仿宋"/>
                <w:color w:val="auto"/>
                <w:szCs w:val="21"/>
                <w:highlight w:val="none"/>
              </w:rPr>
              <w:t>配置人员数量较充足，结构较合理的得5分；</w:t>
            </w:r>
          </w:p>
          <w:p>
            <w:pPr>
              <w:jc w:val="left"/>
              <w:rPr>
                <w:rFonts w:hint="eastAsia" w:ascii="仿宋" w:hAnsi="仿宋" w:cs="仿宋"/>
                <w:color w:val="auto"/>
                <w:szCs w:val="21"/>
                <w:highlight w:val="none"/>
              </w:rPr>
            </w:pPr>
            <w:r>
              <w:rPr>
                <w:rFonts w:hint="eastAsia" w:ascii="仿宋" w:hAnsi="仿宋" w:cs="仿宋"/>
                <w:color w:val="auto"/>
                <w:szCs w:val="21"/>
                <w:highlight w:val="none"/>
              </w:rPr>
              <w:t>配置人员基本满足项目需要、人员结构基本合理的得2分；</w:t>
            </w:r>
          </w:p>
          <w:p>
            <w:pPr>
              <w:jc w:val="left"/>
              <w:rPr>
                <w:rFonts w:hint="eastAsia" w:ascii="仿宋" w:hAnsi="仿宋" w:cs="仿宋"/>
                <w:color w:val="auto"/>
                <w:szCs w:val="21"/>
                <w:highlight w:val="none"/>
              </w:rPr>
            </w:pPr>
            <w:r>
              <w:rPr>
                <w:rFonts w:hint="eastAsia" w:ascii="仿宋" w:hAnsi="仿宋" w:cs="仿宋"/>
                <w:color w:val="auto"/>
                <w:szCs w:val="21"/>
                <w:highlight w:val="none"/>
              </w:rPr>
              <w:t>未提供不得分。</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商务部分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体系</w:t>
            </w:r>
          </w:p>
          <w:p>
            <w:pPr>
              <w:jc w:val="center"/>
              <w:rPr>
                <w:rFonts w:hint="eastAsia" w:ascii="仿宋" w:hAnsi="仿宋" w:cs="仿宋"/>
                <w:color w:val="auto"/>
                <w:szCs w:val="21"/>
                <w:highlight w:val="none"/>
              </w:rPr>
            </w:pPr>
            <w:r>
              <w:rPr>
                <w:rFonts w:hint="eastAsia" w:ascii="仿宋" w:hAnsi="仿宋" w:cs="仿宋"/>
                <w:color w:val="auto"/>
                <w:szCs w:val="21"/>
                <w:highlight w:val="none"/>
              </w:rPr>
              <w:t>认证</w:t>
            </w:r>
          </w:p>
        </w:tc>
        <w:tc>
          <w:tcPr>
            <w:tcW w:w="576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cs="仿宋"/>
                <w:color w:val="auto"/>
                <w:szCs w:val="21"/>
                <w:highlight w:val="none"/>
              </w:rPr>
            </w:pPr>
            <w:r>
              <w:rPr>
                <w:rFonts w:hint="eastAsia" w:ascii="仿宋" w:hAnsi="仿宋" w:cs="仿宋"/>
                <w:color w:val="auto"/>
                <w:szCs w:val="21"/>
                <w:highlight w:val="none"/>
              </w:rPr>
              <w:t>具有有效质量管理体系认证证书、环境管理体系认证证书、职业健康安全管理体系认证证书，三证齐全得3分，缺1项不得分。</w:t>
            </w:r>
          </w:p>
          <w:p>
            <w:pPr>
              <w:jc w:val="left"/>
              <w:rPr>
                <w:rFonts w:hint="eastAsia" w:ascii="仿宋" w:hAnsi="仿宋" w:cs="仿宋"/>
                <w:color w:val="auto"/>
                <w:szCs w:val="21"/>
                <w:highlight w:val="none"/>
              </w:rPr>
            </w:pPr>
            <w:r>
              <w:rPr>
                <w:rFonts w:hint="eastAsia" w:ascii="仿宋" w:hAnsi="仿宋" w:cs="仿宋"/>
                <w:color w:val="auto"/>
                <w:szCs w:val="21"/>
                <w:highlight w:val="none"/>
              </w:rPr>
              <w:t>注：需提供证书复印件附在投标文件中并加盖公章，不提供不得分。</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业绩</w:t>
            </w:r>
          </w:p>
        </w:tc>
        <w:tc>
          <w:tcPr>
            <w:tcW w:w="576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cs="仿宋"/>
                <w:color w:val="auto"/>
                <w:szCs w:val="21"/>
                <w:highlight w:val="none"/>
              </w:rPr>
            </w:pPr>
            <w:r>
              <w:rPr>
                <w:rFonts w:hint="eastAsia" w:ascii="仿宋" w:hAnsi="仿宋" w:cs="仿宋"/>
                <w:color w:val="auto"/>
                <w:szCs w:val="21"/>
                <w:highlight w:val="none"/>
              </w:rPr>
              <w:t>供应商提供（2020年至今）类似业绩，每提供一份合同或中标（成交）通知书得2分，满分6分。</w:t>
            </w:r>
          </w:p>
          <w:p>
            <w:pPr>
              <w:jc w:val="left"/>
              <w:rPr>
                <w:rFonts w:hint="eastAsia" w:ascii="仿宋" w:hAnsi="仿宋" w:cs="仿宋"/>
                <w:color w:val="auto"/>
                <w:szCs w:val="21"/>
                <w:highlight w:val="none"/>
              </w:rPr>
            </w:pPr>
            <w:r>
              <w:rPr>
                <w:rFonts w:hint="eastAsia" w:ascii="仿宋" w:hAnsi="仿宋" w:cs="仿宋"/>
                <w:color w:val="auto"/>
                <w:szCs w:val="21"/>
                <w:highlight w:val="none"/>
              </w:rPr>
              <w:t>注：需提供合同或（成交）通知书复印件附在投标文件中并加盖公章，不提供不得分。</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9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合计</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100</w:t>
            </w:r>
          </w:p>
        </w:tc>
      </w:tr>
    </w:tbl>
    <w:p>
      <w:pPr>
        <w:jc w:val="left"/>
        <w:rPr>
          <w:rFonts w:hint="eastAsia" w:ascii="仿宋" w:hAnsi="仿宋" w:cs="仿宋"/>
          <w:b/>
          <w:color w:val="auto"/>
          <w:szCs w:val="21"/>
          <w:highlight w:val="none"/>
        </w:rPr>
      </w:pPr>
    </w:p>
    <w:p>
      <w:pPr>
        <w:numPr>
          <w:ilvl w:val="0"/>
          <w:numId w:val="8"/>
        </w:numPr>
        <w:rPr>
          <w:rFonts w:hint="eastAsia" w:ascii="仿宋" w:hAnsi="仿宋" w:cs="仿宋"/>
          <w:b/>
          <w:color w:val="auto"/>
          <w:szCs w:val="21"/>
          <w:highlight w:val="none"/>
        </w:rPr>
      </w:pPr>
      <w:r>
        <w:rPr>
          <w:rFonts w:hint="eastAsia" w:ascii="仿宋" w:hAnsi="仿宋" w:cs="仿宋"/>
          <w:b/>
          <w:color w:val="auto"/>
          <w:szCs w:val="21"/>
          <w:highlight w:val="none"/>
        </w:rPr>
        <w:t>加分项评分标准</w:t>
      </w:r>
    </w:p>
    <w:tbl>
      <w:tblPr>
        <w:tblStyle w:val="14"/>
        <w:tblW w:w="84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7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加分</w:t>
            </w:r>
          </w:p>
          <w:p>
            <w:pPr>
              <w:jc w:val="center"/>
              <w:rPr>
                <w:rFonts w:hint="eastAsia" w:ascii="仿宋" w:hAnsi="仿宋" w:cs="仿宋"/>
                <w:color w:val="auto"/>
                <w:szCs w:val="21"/>
                <w:highlight w:val="none"/>
              </w:rPr>
            </w:pPr>
            <w:r>
              <w:rPr>
                <w:rFonts w:hint="eastAsia" w:ascii="仿宋" w:hAnsi="仿宋" w:cs="仿宋"/>
                <w:color w:val="auto"/>
                <w:szCs w:val="21"/>
                <w:highlight w:val="none"/>
              </w:rPr>
              <w:t>因素</w:t>
            </w:r>
          </w:p>
        </w:tc>
        <w:tc>
          <w:tcPr>
            <w:tcW w:w="75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加分说明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节能</w:t>
            </w:r>
          </w:p>
          <w:p>
            <w:pPr>
              <w:jc w:val="center"/>
              <w:rPr>
                <w:rFonts w:hint="eastAsia" w:ascii="仿宋" w:hAnsi="仿宋" w:cs="仿宋"/>
                <w:color w:val="auto"/>
                <w:szCs w:val="21"/>
                <w:highlight w:val="none"/>
              </w:rPr>
            </w:pPr>
            <w:r>
              <w:rPr>
                <w:rFonts w:hint="eastAsia" w:ascii="仿宋" w:hAnsi="仿宋" w:cs="仿宋"/>
                <w:color w:val="auto"/>
                <w:szCs w:val="21"/>
                <w:highlight w:val="none"/>
              </w:rPr>
              <w:t>产品</w:t>
            </w:r>
          </w:p>
        </w:tc>
        <w:tc>
          <w:tcPr>
            <w:tcW w:w="759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cs="仿宋"/>
                <w:color w:val="auto"/>
                <w:szCs w:val="21"/>
                <w:highlight w:val="none"/>
              </w:rPr>
            </w:pPr>
            <w:r>
              <w:rPr>
                <w:rFonts w:hint="eastAsia" w:ascii="仿宋" w:hAnsi="仿宋" w:cs="仿宋"/>
                <w:color w:val="auto"/>
                <w:szCs w:val="21"/>
                <w:highlight w:val="none"/>
              </w:rPr>
              <w:t>对于清单中的投标产品价格给予价格部分总分值</w:t>
            </w:r>
            <w:r>
              <w:rPr>
                <w:rFonts w:hint="eastAsia" w:ascii="仿宋" w:hAnsi="仿宋" w:cs="仿宋"/>
                <w:color w:val="auto"/>
                <w:kern w:val="0"/>
                <w:szCs w:val="21"/>
                <w:highlight w:val="none"/>
                <w:u w:val="single"/>
              </w:rPr>
              <w:t xml:space="preserve"> 2 </w:t>
            </w:r>
            <w:r>
              <w:rPr>
                <w:rFonts w:hint="eastAsia" w:ascii="仿宋" w:hAnsi="仿宋" w:cs="仿宋"/>
                <w:color w:val="auto"/>
                <w:kern w:val="0"/>
                <w:szCs w:val="21"/>
                <w:highlight w:val="none"/>
              </w:rPr>
              <w:t>%</w:t>
            </w:r>
            <w:r>
              <w:rPr>
                <w:rFonts w:hint="eastAsia" w:ascii="仿宋" w:hAnsi="仿宋" w:cs="仿宋"/>
                <w:color w:val="auto"/>
                <w:szCs w:val="21"/>
                <w:highlight w:val="none"/>
              </w:rPr>
              <w:t>的加分，计算公式如下：</w:t>
            </w:r>
          </w:p>
          <w:p>
            <w:pPr>
              <w:rPr>
                <w:rFonts w:hint="eastAsia" w:ascii="仿宋" w:hAnsi="仿宋" w:cs="仿宋"/>
                <w:color w:val="auto"/>
                <w:szCs w:val="21"/>
                <w:highlight w:val="none"/>
              </w:rPr>
            </w:pPr>
            <w:r>
              <w:rPr>
                <w:rFonts w:hint="eastAsia" w:ascii="仿宋" w:hAnsi="仿宋" w:cs="仿宋"/>
                <w:color w:val="auto"/>
                <w:szCs w:val="21"/>
                <w:highlight w:val="none"/>
              </w:rPr>
              <w:t>节能产品加分＝（节能产品投标报价之和/投标总价）×价格部分总分值</w:t>
            </w:r>
            <w:r>
              <w:rPr>
                <w:rFonts w:hint="eastAsia" w:ascii="仿宋" w:hAnsi="仿宋" w:cs="仿宋"/>
                <w:color w:val="auto"/>
                <w:szCs w:val="21"/>
                <w:highlight w:val="none"/>
                <w:u w:val="single"/>
              </w:rPr>
              <w:t>30</w:t>
            </w:r>
            <w:r>
              <w:rPr>
                <w:rFonts w:hint="eastAsia" w:ascii="仿宋" w:hAnsi="仿宋" w:cs="仿宋"/>
                <w:color w:val="auto"/>
                <w:szCs w:val="21"/>
                <w:highlight w:val="none"/>
              </w:rPr>
              <w:t>×</w:t>
            </w:r>
            <w:r>
              <w:rPr>
                <w:rFonts w:hint="eastAsia" w:ascii="仿宋" w:hAnsi="仿宋" w:cs="仿宋"/>
                <w:color w:val="auto"/>
                <w:szCs w:val="21"/>
                <w:highlight w:val="none"/>
                <w:u w:val="single"/>
              </w:rPr>
              <w:t>2</w:t>
            </w:r>
            <w:r>
              <w:rPr>
                <w:rFonts w:hint="eastAsia" w:ascii="仿宋" w:hAnsi="仿宋" w:cs="仿宋"/>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cs="仿宋"/>
                <w:color w:val="auto"/>
                <w:szCs w:val="21"/>
                <w:highlight w:val="none"/>
              </w:rPr>
            </w:pPr>
            <w:r>
              <w:rPr>
                <w:rFonts w:hint="eastAsia" w:ascii="仿宋" w:hAnsi="仿宋" w:cs="仿宋"/>
                <w:color w:val="auto"/>
                <w:szCs w:val="21"/>
                <w:highlight w:val="none"/>
              </w:rPr>
              <w:t>环保</w:t>
            </w:r>
          </w:p>
          <w:p>
            <w:pPr>
              <w:jc w:val="center"/>
              <w:rPr>
                <w:rFonts w:hint="eastAsia" w:ascii="仿宋" w:hAnsi="仿宋" w:cs="仿宋"/>
                <w:color w:val="auto"/>
                <w:szCs w:val="21"/>
                <w:highlight w:val="none"/>
              </w:rPr>
            </w:pPr>
            <w:r>
              <w:rPr>
                <w:rFonts w:hint="eastAsia" w:ascii="仿宋" w:hAnsi="仿宋" w:cs="仿宋"/>
                <w:color w:val="auto"/>
                <w:szCs w:val="21"/>
                <w:highlight w:val="none"/>
              </w:rPr>
              <w:t>产品</w:t>
            </w:r>
          </w:p>
        </w:tc>
        <w:tc>
          <w:tcPr>
            <w:tcW w:w="759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cs="仿宋"/>
                <w:color w:val="auto"/>
                <w:szCs w:val="21"/>
                <w:highlight w:val="none"/>
              </w:rPr>
            </w:pPr>
            <w:r>
              <w:rPr>
                <w:rFonts w:hint="eastAsia" w:ascii="仿宋" w:hAnsi="仿宋" w:cs="仿宋"/>
                <w:color w:val="auto"/>
                <w:szCs w:val="21"/>
                <w:highlight w:val="none"/>
              </w:rPr>
              <w:t>对于清单中的投标产品价格给予价格部分总分值</w:t>
            </w:r>
            <w:r>
              <w:rPr>
                <w:rFonts w:hint="eastAsia" w:ascii="仿宋" w:hAnsi="仿宋" w:cs="仿宋"/>
                <w:color w:val="auto"/>
                <w:szCs w:val="21"/>
                <w:highlight w:val="none"/>
                <w:u w:val="single"/>
              </w:rPr>
              <w:t xml:space="preserve"> 2 </w:t>
            </w:r>
            <w:r>
              <w:rPr>
                <w:rFonts w:hint="eastAsia" w:ascii="仿宋" w:hAnsi="仿宋" w:cs="仿宋"/>
                <w:color w:val="auto"/>
                <w:szCs w:val="21"/>
                <w:highlight w:val="none"/>
              </w:rPr>
              <w:t>%的加分，计算公式如下：</w:t>
            </w:r>
          </w:p>
          <w:p>
            <w:pPr>
              <w:rPr>
                <w:rFonts w:hint="eastAsia" w:ascii="仿宋" w:hAnsi="仿宋" w:cs="仿宋"/>
                <w:color w:val="auto"/>
                <w:szCs w:val="21"/>
                <w:highlight w:val="none"/>
              </w:rPr>
            </w:pPr>
            <w:r>
              <w:rPr>
                <w:rFonts w:hint="eastAsia" w:ascii="仿宋" w:hAnsi="仿宋" w:cs="仿宋"/>
                <w:color w:val="auto"/>
                <w:szCs w:val="21"/>
                <w:highlight w:val="none"/>
              </w:rPr>
              <w:t>环保产品加分＝（环保产品投标报价之和/投标总价）×价格部分总分值</w:t>
            </w:r>
            <w:r>
              <w:rPr>
                <w:rFonts w:hint="eastAsia" w:ascii="仿宋" w:hAnsi="仿宋" w:cs="仿宋"/>
                <w:color w:val="auto"/>
                <w:szCs w:val="21"/>
                <w:highlight w:val="none"/>
                <w:u w:val="single"/>
              </w:rPr>
              <w:t>30</w:t>
            </w:r>
            <w:r>
              <w:rPr>
                <w:rFonts w:hint="eastAsia" w:ascii="仿宋" w:hAnsi="仿宋" w:cs="仿宋"/>
                <w:color w:val="auto"/>
                <w:szCs w:val="21"/>
                <w:highlight w:val="none"/>
              </w:rPr>
              <w:t>×</w:t>
            </w:r>
            <w:r>
              <w:rPr>
                <w:rFonts w:hint="eastAsia" w:ascii="仿宋" w:hAnsi="仿宋" w:cs="仿宋"/>
                <w:color w:val="auto"/>
                <w:szCs w:val="21"/>
                <w:highlight w:val="none"/>
                <w:u w:val="single"/>
              </w:rPr>
              <w:t>2</w:t>
            </w:r>
            <w:r>
              <w:rPr>
                <w:rFonts w:hint="eastAsia" w:ascii="仿宋" w:hAnsi="仿宋" w:cs="仿宋"/>
                <w:color w:val="auto"/>
                <w:szCs w:val="21"/>
                <w:highlight w:val="none"/>
              </w:rPr>
              <w:t>%。</w:t>
            </w:r>
          </w:p>
        </w:tc>
      </w:tr>
    </w:tbl>
    <w:p>
      <w:pPr>
        <w:wordWrap w:val="0"/>
        <w:adjustRightInd w:val="0"/>
        <w:snapToGrid w:val="0"/>
        <w:spacing w:line="360" w:lineRule="auto"/>
        <w:jc w:val="both"/>
        <w:rPr>
          <w:rFonts w:hint="eastAsia" w:ascii="仿宋" w:hAnsi="仿宋" w:eastAsia="仿宋" w:cs="仿宋"/>
          <w:color w:val="auto"/>
          <w:szCs w:val="21"/>
          <w:highlight w:val="none"/>
        </w:rPr>
      </w:pPr>
      <w:r>
        <w:rPr>
          <w:rFonts w:hint="eastAsia" w:ascii="仿宋" w:hAnsi="仿宋" w:eastAsia="仿宋" w:cs="仿宋"/>
          <w:color w:val="auto"/>
          <w:szCs w:val="21"/>
          <w:highlight w:val="none"/>
        </w:rPr>
        <w:br w:type="page"/>
      </w:r>
    </w:p>
    <w:p>
      <w:pPr>
        <w:rPr>
          <w:rFonts w:hint="eastAsia" w:ascii="仿宋" w:hAnsi="仿宋" w:eastAsia="仿宋" w:cs="仿宋"/>
          <w:color w:val="auto"/>
          <w:highlight w:val="none"/>
        </w:rPr>
      </w:pPr>
      <w:bookmarkStart w:id="149" w:name="_Toc25922_WPSOffice_Level1"/>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adjustRightInd w:val="0"/>
        <w:snapToGrid w:val="0"/>
        <w:spacing w:before="319" w:beforeLines="100" w:after="319" w:afterLines="100"/>
        <w:rPr>
          <w:rFonts w:hint="eastAsia" w:ascii="仿宋" w:hAnsi="仿宋" w:eastAsia="仿宋" w:cs="仿宋"/>
          <w:color w:val="auto"/>
          <w:highlight w:val="none"/>
        </w:rPr>
      </w:pPr>
      <w:bookmarkStart w:id="150" w:name="_Toc19588"/>
      <w:r>
        <w:rPr>
          <w:rFonts w:hint="eastAsia" w:ascii="仿宋" w:hAnsi="仿宋" w:eastAsia="仿宋" w:cs="仿宋"/>
          <w:color w:val="auto"/>
          <w:highlight w:val="none"/>
        </w:rPr>
        <w:t>第五章 政府采购合同条款</w:t>
      </w:r>
      <w:bookmarkEnd w:id="149"/>
      <w:r>
        <w:rPr>
          <w:rFonts w:hint="eastAsia" w:ascii="仿宋" w:hAnsi="仿宋" w:eastAsia="仿宋" w:cs="仿宋"/>
          <w:color w:val="auto"/>
          <w:highlight w:val="none"/>
        </w:rPr>
        <w:t>及格式</w:t>
      </w:r>
      <w:bookmarkEnd w:id="150"/>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3"/>
        <w:adjustRightInd w:val="0"/>
        <w:snapToGrid w:val="0"/>
        <w:spacing w:before="0" w:after="0" w:line="240" w:lineRule="auto"/>
        <w:jc w:val="left"/>
        <w:rPr>
          <w:rFonts w:hint="eastAsia" w:ascii="仿宋" w:hAnsi="仿宋" w:eastAsia="仿宋" w:cs="仿宋"/>
          <w:color w:val="auto"/>
          <w:szCs w:val="28"/>
          <w:highlight w:val="none"/>
        </w:rPr>
      </w:pPr>
      <w:bookmarkStart w:id="151" w:name="_Toc23704_WPSOffice_Level1"/>
      <w:r>
        <w:rPr>
          <w:rFonts w:hint="eastAsia" w:ascii="仿宋" w:hAnsi="仿宋" w:eastAsia="仿宋" w:cs="仿宋"/>
          <w:color w:val="auto"/>
          <w:szCs w:val="28"/>
          <w:highlight w:val="none"/>
        </w:rPr>
        <w:br w:type="page"/>
      </w:r>
      <w:r>
        <w:rPr>
          <w:rFonts w:hint="eastAsia" w:ascii="仿宋" w:hAnsi="仿宋" w:eastAsia="仿宋" w:cs="仿宋"/>
          <w:color w:val="auto"/>
          <w:szCs w:val="28"/>
          <w:highlight w:val="none"/>
        </w:rPr>
        <w:t>合同条款</w:t>
      </w:r>
    </w:p>
    <w:p>
      <w:pPr>
        <w:spacing w:before="319" w:beforeLines="100" w:after="319" w:afterLines="100" w:line="480" w:lineRule="exact"/>
        <w:jc w:val="center"/>
        <w:rPr>
          <w:rFonts w:hint="eastAsia" w:ascii="仿宋" w:hAnsi="仿宋" w:eastAsia="仿宋" w:cs="仿宋"/>
          <w:b/>
          <w:color w:val="auto"/>
          <w:sz w:val="44"/>
          <w:szCs w:val="44"/>
          <w:highlight w:val="none"/>
        </w:rPr>
      </w:pPr>
      <w:bookmarkStart w:id="152" w:name="_Toc30224_WPSOffice_Level1"/>
      <w:r>
        <w:rPr>
          <w:rFonts w:hint="eastAsia" w:ascii="仿宋" w:hAnsi="仿宋" w:eastAsia="仿宋" w:cs="仿宋"/>
          <w:b/>
          <w:color w:val="auto"/>
          <w:sz w:val="44"/>
          <w:szCs w:val="44"/>
          <w:highlight w:val="none"/>
        </w:rPr>
        <w:t>政府采购合同条款</w:t>
      </w:r>
      <w:bookmarkEnd w:id="152"/>
    </w:p>
    <w:p>
      <w:pPr>
        <w:wordWrap w:val="0"/>
        <w:adjustRightInd w:val="0"/>
        <w:snapToGrid w:val="0"/>
        <w:spacing w:line="360" w:lineRule="auto"/>
        <w:jc w:val="right"/>
        <w:rPr>
          <w:rFonts w:hint="eastAsia" w:ascii="仿宋" w:hAnsi="仿宋" w:eastAsia="仿宋" w:cs="仿宋"/>
          <w:color w:val="auto"/>
          <w:szCs w:val="21"/>
          <w:highlight w:val="none"/>
        </w:rPr>
      </w:pPr>
    </w:p>
    <w:p>
      <w:pPr>
        <w:adjustRightInd w:val="0"/>
        <w:snapToGrid w:val="0"/>
        <w:spacing w:line="360" w:lineRule="auto"/>
        <w:ind w:firstLine="411" w:firstLineChars="196"/>
        <w:rPr>
          <w:rFonts w:hint="eastAsia" w:ascii="仿宋" w:hAnsi="仿宋" w:eastAsia="仿宋" w:cs="仿宋"/>
          <w:b/>
          <w:bCs/>
          <w:color w:val="auto"/>
          <w:szCs w:val="21"/>
          <w:highlight w:val="none"/>
        </w:rPr>
      </w:pPr>
      <w:bookmarkStart w:id="153" w:name="_Toc10117_WPSOffice_Level1"/>
      <w:bookmarkStart w:id="154" w:name="_Toc25596_WPSOffice_Level1"/>
      <w:bookmarkStart w:id="155" w:name="_Toc398_WPSOffice_Level1"/>
      <w:r>
        <w:rPr>
          <w:rFonts w:hint="eastAsia" w:ascii="仿宋" w:hAnsi="仿宋" w:eastAsia="仿宋" w:cs="仿宋"/>
          <w:b/>
          <w:bCs/>
          <w:color w:val="auto"/>
          <w:szCs w:val="21"/>
          <w:highlight w:val="none"/>
        </w:rPr>
        <w:t>1.术语定义</w:t>
      </w:r>
      <w:bookmarkEnd w:id="153"/>
      <w:bookmarkEnd w:id="154"/>
      <w:bookmarkEnd w:id="155"/>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本政府采购合同下列术语应解释为：</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1.1“政府采购合同”指供需双方依照政府采购程序、按照招标文件、投标文件确定的事项所达成的协议，包括附件、附录和上述文件所提到的构成政府采购合同的所有文件。</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1.2“政府采购合同价”指根据合同约定供方在正确地完全履行政府采购合同义务后，需方应支付给供方的价格。</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1.3“政府采购合同货物”指政府采购合同货物清单（同投标文件中开标一览表及其附表，下同）中所约定的各种形态和种类的物品，包括原材料、燃料、设备、产品、硬件、软件、安装材料、备件及专用器具、文件资料等内容。</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1.4“服务”指根据政府采购合同约定供方应承担的与供货有关的伴随服务，包括（但不限于）政府采购合同货物的运输、保险、安装、测试、调试、培训、维修、提供技术指导和支持、保修期外的维护以及其它类似的义务。</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1.5“需方”指项目基本内容及要求中所述取得货物和服务的采购人。</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1.6“供方”指项目基本内容及要求中所述提供产品和服务的中标人。</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1.7“检验”指需方或者需方的最终用户收货后，按照本政府采购合同约定的标准对政府采购合同货物进行的检测与查验。</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1.8“验收书”指需方对供方履行政府采购合同情况及结果进行现场检验和评估意见的文件。</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1.9“技术资料”指安装、调试、使用、维修政府采购合同货物所应具备的产品使用说明书和、或使用指南、操作手册、维修指南、服务手册、电路图、产品演示等文件及音像资料。</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1.10“保修期”指自验收书签署之日起，供方以自担费用方式保证政府采购合同货物正常运行的时期。</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1.11“第三人”是指本政府采购合同双方以外的任何中国境内外的自然人、法人或其它经济组织。</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1.12“法律、法规”是指由中国各级政府及有关部门制定的法律、行政法规、地方性法规、规章及其它规范性文件的有关规定。</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1.13“招标文件”指采购人或者采购代理机构发布的招标文件。</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1.14“投标文件”指供方按照采购代理机构招标文件的要求编制和递交，并最终被评标委员会接受的投标文件。</w:t>
      </w:r>
    </w:p>
    <w:p>
      <w:pPr>
        <w:rPr>
          <w:rFonts w:hint="eastAsia" w:ascii="仿宋" w:hAnsi="仿宋" w:eastAsia="仿宋" w:cs="仿宋"/>
          <w:color w:val="auto"/>
          <w:highlight w:val="none"/>
        </w:rPr>
      </w:pPr>
      <w:bookmarkStart w:id="156" w:name="_Toc29737_WPSOffice_Level1"/>
      <w:bookmarkStart w:id="157" w:name="_Toc22454_WPSOffice_Level1"/>
      <w:bookmarkStart w:id="158" w:name="_Toc750_WPSOffice_Level1"/>
      <w:r>
        <w:rPr>
          <w:rFonts w:hint="eastAsia" w:ascii="仿宋" w:hAnsi="仿宋" w:eastAsia="仿宋" w:cs="仿宋"/>
          <w:color w:val="auto"/>
          <w:highlight w:val="none"/>
        </w:rPr>
        <w:t>2.技术指标</w:t>
      </w:r>
      <w:bookmarkEnd w:id="156"/>
      <w:bookmarkEnd w:id="157"/>
      <w:bookmarkEnd w:id="158"/>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2.1交付产品的技术指标应与招标文件规定的技术指标要求及投标文件中的“技术规格偏离表及商务条款偏离表”的承诺内容相一致。</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2.2 除技术指标另有规定外，计量单位应该使用公制。</w:t>
      </w:r>
    </w:p>
    <w:p>
      <w:pPr>
        <w:adjustRightInd w:val="0"/>
        <w:snapToGrid w:val="0"/>
        <w:spacing w:line="360" w:lineRule="auto"/>
        <w:ind w:firstLine="411" w:firstLineChars="196"/>
        <w:rPr>
          <w:rFonts w:hint="eastAsia" w:ascii="仿宋" w:hAnsi="仿宋" w:eastAsia="仿宋" w:cs="仿宋"/>
          <w:b/>
          <w:color w:val="auto"/>
          <w:szCs w:val="21"/>
          <w:highlight w:val="none"/>
        </w:rPr>
      </w:pPr>
      <w:bookmarkStart w:id="159" w:name="_Toc17648_WPSOffice_Level1"/>
      <w:bookmarkStart w:id="160" w:name="_Toc1538_WPSOffice_Level1"/>
      <w:bookmarkStart w:id="161" w:name="_Toc19640_WPSOffice_Level1"/>
      <w:r>
        <w:rPr>
          <w:rFonts w:hint="eastAsia" w:ascii="仿宋" w:hAnsi="仿宋" w:eastAsia="仿宋" w:cs="仿宋"/>
          <w:b/>
          <w:color w:val="auto"/>
          <w:szCs w:val="21"/>
          <w:highlight w:val="none"/>
        </w:rPr>
        <w:t>3.交货</w:t>
      </w:r>
      <w:bookmarkEnd w:id="159"/>
      <w:bookmarkEnd w:id="160"/>
      <w:bookmarkEnd w:id="161"/>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3.1供方按照合同约定的时间、地点交货</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3.2供方交货的同时应提交下列文件：销售发票，制造厂商出具的质量检验证书、产品合格证以及招标文件、投标文件确定供方应随货物同时提供的其他资料。</w:t>
      </w:r>
    </w:p>
    <w:p>
      <w:pPr>
        <w:adjustRightInd w:val="0"/>
        <w:snapToGrid w:val="0"/>
        <w:spacing w:line="360" w:lineRule="auto"/>
        <w:ind w:firstLine="411" w:firstLineChars="196"/>
        <w:rPr>
          <w:rFonts w:hint="eastAsia" w:ascii="仿宋" w:hAnsi="仿宋" w:eastAsia="仿宋" w:cs="仿宋"/>
          <w:b/>
          <w:color w:val="auto"/>
          <w:szCs w:val="21"/>
          <w:highlight w:val="none"/>
        </w:rPr>
      </w:pPr>
      <w:bookmarkStart w:id="162" w:name="_Toc11745_WPSOffice_Level1"/>
      <w:bookmarkStart w:id="163" w:name="_Toc15048_WPSOffice_Level1"/>
      <w:bookmarkStart w:id="164" w:name="_Toc1266_WPSOffice_Level1"/>
      <w:r>
        <w:rPr>
          <w:rFonts w:hint="eastAsia" w:ascii="仿宋" w:hAnsi="仿宋" w:eastAsia="仿宋" w:cs="仿宋"/>
          <w:b/>
          <w:color w:val="auto"/>
          <w:szCs w:val="21"/>
          <w:highlight w:val="none"/>
        </w:rPr>
        <w:t>4.合同金额</w:t>
      </w:r>
      <w:bookmarkEnd w:id="162"/>
      <w:bookmarkEnd w:id="163"/>
      <w:bookmarkEnd w:id="164"/>
    </w:p>
    <w:p>
      <w:pPr>
        <w:adjustRightInd w:val="0"/>
        <w:snapToGrid w:val="0"/>
        <w:spacing w:line="360" w:lineRule="auto"/>
        <w:ind w:firstLine="411" w:firstLineChars="196"/>
        <w:rPr>
          <w:rFonts w:hint="eastAsia" w:ascii="仿宋" w:hAnsi="仿宋" w:eastAsia="仿宋" w:cs="仿宋"/>
          <w:b/>
          <w:color w:val="auto"/>
          <w:szCs w:val="21"/>
          <w:highlight w:val="none"/>
        </w:rPr>
      </w:pPr>
      <w:r>
        <w:rPr>
          <w:rFonts w:hint="eastAsia" w:ascii="仿宋" w:hAnsi="仿宋" w:eastAsia="仿宋" w:cs="仿宋"/>
          <w:color w:val="auto"/>
          <w:szCs w:val="21"/>
          <w:highlight w:val="none"/>
        </w:rPr>
        <w:t>根据政府采购合同文件要求，确定政府采购合同的总金额。</w:t>
      </w:r>
    </w:p>
    <w:p>
      <w:pPr>
        <w:adjustRightInd w:val="0"/>
        <w:snapToGrid w:val="0"/>
        <w:spacing w:line="360" w:lineRule="auto"/>
        <w:ind w:firstLine="411" w:firstLineChars="196"/>
        <w:rPr>
          <w:rFonts w:hint="eastAsia" w:ascii="仿宋" w:hAnsi="仿宋" w:eastAsia="仿宋" w:cs="仿宋"/>
          <w:b/>
          <w:color w:val="auto"/>
          <w:szCs w:val="21"/>
          <w:highlight w:val="none"/>
        </w:rPr>
      </w:pPr>
      <w:bookmarkStart w:id="165" w:name="_Toc941_WPSOffice_Level1"/>
      <w:bookmarkStart w:id="166" w:name="_Toc22359_WPSOffice_Level1"/>
      <w:bookmarkStart w:id="167" w:name="_Toc11969_WPSOffice_Level1"/>
      <w:r>
        <w:rPr>
          <w:rFonts w:hint="eastAsia" w:ascii="仿宋" w:hAnsi="仿宋" w:eastAsia="仿宋" w:cs="仿宋"/>
          <w:b/>
          <w:color w:val="auto"/>
          <w:szCs w:val="21"/>
          <w:highlight w:val="none"/>
        </w:rPr>
        <w:t>5.付款</w:t>
      </w:r>
      <w:bookmarkEnd w:id="165"/>
      <w:bookmarkEnd w:id="166"/>
      <w:bookmarkEnd w:id="167"/>
    </w:p>
    <w:p>
      <w:pPr>
        <w:adjustRightInd w:val="0"/>
        <w:snapToGrid w:val="0"/>
        <w:spacing w:line="360" w:lineRule="auto"/>
        <w:ind w:firstLine="411" w:firstLineChars="196"/>
        <w:rPr>
          <w:rFonts w:hint="eastAsia" w:ascii="仿宋" w:hAnsi="仿宋" w:eastAsia="仿宋" w:cs="仿宋"/>
          <w:color w:val="auto"/>
          <w:szCs w:val="21"/>
          <w:highlight w:val="none"/>
          <w:u w:val="single"/>
        </w:rPr>
      </w:pPr>
      <w:bookmarkStart w:id="168" w:name="_Toc22351_WPSOffice_Level2"/>
      <w:r>
        <w:rPr>
          <w:rFonts w:hint="eastAsia" w:ascii="仿宋" w:hAnsi="仿宋" w:eastAsia="仿宋" w:cs="仿宋"/>
          <w:color w:val="auto"/>
          <w:szCs w:val="21"/>
          <w:highlight w:val="none"/>
        </w:rPr>
        <w:t>5.1付款方式、条件：需方按照合同约定的方式和条件付款。</w:t>
      </w:r>
      <w:bookmarkEnd w:id="168"/>
    </w:p>
    <w:p>
      <w:pPr>
        <w:adjustRightInd w:val="0"/>
        <w:snapToGrid w:val="0"/>
        <w:spacing w:line="360" w:lineRule="auto"/>
        <w:ind w:firstLine="411" w:firstLineChars="196"/>
        <w:rPr>
          <w:rFonts w:hint="eastAsia" w:ascii="仿宋" w:hAnsi="仿宋" w:eastAsia="仿宋" w:cs="仿宋"/>
          <w:b/>
          <w:color w:val="auto"/>
          <w:szCs w:val="21"/>
          <w:highlight w:val="none"/>
        </w:rPr>
      </w:pPr>
      <w:bookmarkStart w:id="169" w:name="_Toc27769_WPSOffice_Level1"/>
      <w:bookmarkStart w:id="170" w:name="_Toc30478_WPSOffice_Level1"/>
      <w:bookmarkStart w:id="171" w:name="_Toc10526_WPSOffice_Level1"/>
      <w:r>
        <w:rPr>
          <w:rFonts w:hint="eastAsia" w:ascii="仿宋" w:hAnsi="仿宋" w:eastAsia="仿宋" w:cs="仿宋"/>
          <w:b/>
          <w:color w:val="auto"/>
          <w:szCs w:val="21"/>
          <w:highlight w:val="none"/>
        </w:rPr>
        <w:t>6.验收</w:t>
      </w:r>
      <w:bookmarkEnd w:id="169"/>
      <w:bookmarkEnd w:id="170"/>
      <w:bookmarkEnd w:id="171"/>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6.1供方提交的货物由需方或者需方的最终用户负责验收。</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6.2需方或者需方的最终用户应当按照采购合同规定的技术、服务等要求组织对供应商履约的验收，并出具验收书。验收书应当包括每一项技术、服务等要求的履约情况。</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6.3大型或者复杂的项目，应当邀请国家认可的质量检测机构参加验收。</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6.4政府向社会公众提供的公共服务项目，验收时应当邀请服务对象参与并出具意见，验收结果应当向社会公告。</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需方向供方收取本政府采购合同第3.2款所列明的销售发票等文件并在验收书上签字和加盖单位公章，作为验收合格、同意付款的依据。</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6.6货物保修期自验收书签署之日起计算。</w:t>
      </w:r>
    </w:p>
    <w:p>
      <w:pPr>
        <w:adjustRightInd w:val="0"/>
        <w:snapToGrid w:val="0"/>
        <w:spacing w:line="360" w:lineRule="auto"/>
        <w:ind w:firstLine="411" w:firstLineChars="196"/>
        <w:rPr>
          <w:rFonts w:hint="eastAsia" w:ascii="仿宋" w:hAnsi="仿宋" w:eastAsia="仿宋" w:cs="仿宋"/>
          <w:b/>
          <w:color w:val="auto"/>
          <w:szCs w:val="21"/>
          <w:highlight w:val="none"/>
        </w:rPr>
      </w:pPr>
      <w:bookmarkStart w:id="172" w:name="_Toc23127_WPSOffice_Level1"/>
      <w:bookmarkStart w:id="173" w:name="_Toc21868_WPSOffice_Level1"/>
      <w:bookmarkStart w:id="174" w:name="_Toc31292_WPSOffice_Level1"/>
      <w:r>
        <w:rPr>
          <w:rFonts w:hint="eastAsia" w:ascii="仿宋" w:hAnsi="仿宋" w:eastAsia="仿宋" w:cs="仿宋"/>
          <w:b/>
          <w:color w:val="auto"/>
          <w:szCs w:val="21"/>
          <w:highlight w:val="none"/>
        </w:rPr>
        <w:t>7.知识产权及有关规定</w:t>
      </w:r>
      <w:bookmarkEnd w:id="172"/>
      <w:bookmarkEnd w:id="173"/>
      <w:bookmarkEnd w:id="174"/>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7.2一方对另一方提供的技术资料、样件、图纸及其他与质量、技术、经营相关信息（包括但不限于价格、数量）有保密义务。双方应确保其人员及相关协作方承担保密义务。</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7.4本合同中涉及保密和知识产权任何条款，在合同期限内及合同终止后持续有效。</w:t>
      </w:r>
    </w:p>
    <w:p>
      <w:pPr>
        <w:adjustRightInd w:val="0"/>
        <w:snapToGrid w:val="0"/>
        <w:spacing w:line="360" w:lineRule="auto"/>
        <w:ind w:firstLine="411" w:firstLineChars="196"/>
        <w:rPr>
          <w:rFonts w:hint="eastAsia" w:ascii="仿宋" w:hAnsi="仿宋" w:eastAsia="仿宋" w:cs="仿宋"/>
          <w:b/>
          <w:color w:val="auto"/>
          <w:szCs w:val="21"/>
          <w:highlight w:val="none"/>
        </w:rPr>
      </w:pPr>
      <w:bookmarkStart w:id="175" w:name="_Toc26796_WPSOffice_Level1"/>
      <w:bookmarkStart w:id="176" w:name="_Toc24765_WPSOffice_Level1"/>
      <w:bookmarkStart w:id="177" w:name="_Toc21090_WPSOffice_Level1"/>
      <w:r>
        <w:rPr>
          <w:rFonts w:hint="eastAsia" w:ascii="仿宋" w:hAnsi="仿宋" w:eastAsia="仿宋" w:cs="仿宋"/>
          <w:b/>
          <w:color w:val="auto"/>
          <w:szCs w:val="21"/>
          <w:highlight w:val="none"/>
        </w:rPr>
        <w:t>8.包装要求</w:t>
      </w:r>
      <w:bookmarkEnd w:id="175"/>
      <w:bookmarkEnd w:id="176"/>
      <w:bookmarkEnd w:id="177"/>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8.2每一个包装箱内应附一份详细的装箱单和质量合格证书。</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8.3包装费由供方承担，包装物不回收。</w:t>
      </w:r>
    </w:p>
    <w:p>
      <w:pPr>
        <w:adjustRightInd w:val="0"/>
        <w:snapToGrid w:val="0"/>
        <w:spacing w:line="360" w:lineRule="auto"/>
        <w:ind w:firstLine="411" w:firstLineChars="196"/>
        <w:rPr>
          <w:rFonts w:hint="eastAsia" w:ascii="仿宋" w:hAnsi="仿宋" w:eastAsia="仿宋" w:cs="仿宋"/>
          <w:b/>
          <w:color w:val="auto"/>
          <w:szCs w:val="21"/>
          <w:highlight w:val="none"/>
        </w:rPr>
      </w:pPr>
      <w:bookmarkStart w:id="178" w:name="_Toc26447_WPSOffice_Level1"/>
      <w:bookmarkStart w:id="179" w:name="_Toc2304_WPSOffice_Level1"/>
      <w:bookmarkStart w:id="180" w:name="_Toc1308_WPSOffice_Level1"/>
      <w:r>
        <w:rPr>
          <w:rFonts w:hint="eastAsia" w:ascii="仿宋" w:hAnsi="仿宋" w:eastAsia="仿宋" w:cs="仿宋"/>
          <w:b/>
          <w:color w:val="auto"/>
          <w:szCs w:val="21"/>
          <w:highlight w:val="none"/>
        </w:rPr>
        <w:t>9.伴随服务</w:t>
      </w:r>
      <w:bookmarkEnd w:id="178"/>
      <w:bookmarkEnd w:id="179"/>
      <w:bookmarkEnd w:id="180"/>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9.1供方应提供所交付货物的全套技术文件资料，包括产品目录、图纸、操作手册、使用说明、维护手册和服务指南等。</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9.2供方还应提供下列服务：</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9.2.1货物的现场安装、启动和试运行；</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9.2.2提供货物组装和维修所需的工具；</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9.2.3在质量保证期内对所交付货物提供运行监督、维修、保养等,如果招标文件没有特别要求，以供方在投标文件中提交的售后服务承诺书为准。如果上述文件规定有不一致之处，以对需方有利的为准。</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9.2.4在制造厂家或在项目现场就货物的安装、启动、运行、维护等对需方人员进行培训，直至需方人员掌握全部上述技能为止。</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9.3伴随服务的费用应含在合同价中，不单独进行支付。</w:t>
      </w:r>
    </w:p>
    <w:p>
      <w:pPr>
        <w:adjustRightInd w:val="0"/>
        <w:snapToGrid w:val="0"/>
        <w:spacing w:line="360" w:lineRule="auto"/>
        <w:ind w:firstLine="411" w:firstLineChars="196"/>
        <w:rPr>
          <w:rFonts w:hint="eastAsia" w:ascii="仿宋" w:hAnsi="仿宋" w:eastAsia="仿宋" w:cs="仿宋"/>
          <w:b/>
          <w:color w:val="auto"/>
          <w:szCs w:val="21"/>
          <w:highlight w:val="none"/>
        </w:rPr>
      </w:pPr>
      <w:bookmarkStart w:id="181" w:name="_Toc8205_WPSOffice_Level1"/>
      <w:bookmarkStart w:id="182" w:name="_Toc7636_WPSOffice_Level1"/>
      <w:bookmarkStart w:id="183" w:name="_Toc14320_WPSOffice_Level1"/>
      <w:r>
        <w:rPr>
          <w:rFonts w:hint="eastAsia" w:ascii="仿宋" w:hAnsi="仿宋" w:eastAsia="仿宋" w:cs="仿宋"/>
          <w:b/>
          <w:color w:val="auto"/>
          <w:szCs w:val="21"/>
          <w:highlight w:val="none"/>
        </w:rPr>
        <w:t>10.质量保证期</w:t>
      </w:r>
      <w:bookmarkEnd w:id="181"/>
      <w:bookmarkEnd w:id="182"/>
      <w:bookmarkEnd w:id="183"/>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10.1以招标文件中的规定为准，如果投标文件中的承诺优于招标文件规定，则以投标文件为准。</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10.2如果招标文件没有特别要求，以供方在投标文件中提交的制造厂商的有关文件为准。如果上述文件规定有不一致之处，以对需方有利的为准。</w:t>
      </w:r>
    </w:p>
    <w:p>
      <w:pPr>
        <w:adjustRightInd w:val="0"/>
        <w:snapToGrid w:val="0"/>
        <w:spacing w:line="360" w:lineRule="auto"/>
        <w:ind w:firstLine="411" w:firstLineChars="196"/>
        <w:rPr>
          <w:rFonts w:hint="eastAsia" w:ascii="仿宋" w:hAnsi="仿宋" w:eastAsia="仿宋" w:cs="仿宋"/>
          <w:b/>
          <w:color w:val="auto"/>
          <w:szCs w:val="21"/>
          <w:highlight w:val="none"/>
        </w:rPr>
      </w:pPr>
      <w:bookmarkStart w:id="184" w:name="_Toc16220_WPSOffice_Level1"/>
      <w:bookmarkStart w:id="185" w:name="_Toc18427_WPSOffice_Level1"/>
      <w:bookmarkStart w:id="186" w:name="_Toc13950_WPSOffice_Level1"/>
      <w:r>
        <w:rPr>
          <w:rFonts w:hint="eastAsia" w:ascii="仿宋" w:hAnsi="仿宋" w:eastAsia="仿宋" w:cs="仿宋"/>
          <w:b/>
          <w:color w:val="auto"/>
          <w:szCs w:val="21"/>
          <w:highlight w:val="none"/>
        </w:rPr>
        <w:t>11.质量保证</w:t>
      </w:r>
      <w:bookmarkEnd w:id="184"/>
      <w:bookmarkEnd w:id="185"/>
      <w:bookmarkEnd w:id="186"/>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质量保证责任，该责任不受质量保证期的限制。</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11.2如果货物的规格型号、配置、技术性能、原产地及制造厂商以及其它质量技术指标与政府采购合同约定不符，或证实货物是有缺陷的，包括潜在的缺陷或使用不符合要求的材料等，需方应尽快以书面形式向供方提出本保证下的索赔。</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11.3如果供方在接到需方通知后，在本政府采购合同约定的响应时间内没有弥补缺陷，需方可采取必要的补救措施，但其风险和费用将由供方负担，并且需方根据合同规定对供方行使的其它权利不受影响。</w:t>
      </w:r>
    </w:p>
    <w:p>
      <w:pPr>
        <w:adjustRightInd w:val="0"/>
        <w:snapToGrid w:val="0"/>
        <w:spacing w:line="360" w:lineRule="auto"/>
        <w:ind w:firstLine="411" w:firstLineChars="196"/>
        <w:rPr>
          <w:rFonts w:hint="eastAsia" w:ascii="仿宋" w:hAnsi="仿宋" w:eastAsia="仿宋" w:cs="仿宋"/>
          <w:b/>
          <w:color w:val="auto"/>
          <w:szCs w:val="21"/>
          <w:highlight w:val="none"/>
        </w:rPr>
      </w:pPr>
      <w:bookmarkStart w:id="187" w:name="_Toc29469_WPSOffice_Level1"/>
      <w:bookmarkStart w:id="188" w:name="_Toc9090_WPSOffice_Level1"/>
      <w:bookmarkStart w:id="189" w:name="_Toc24667_WPSOffice_Level1"/>
      <w:r>
        <w:rPr>
          <w:rFonts w:hint="eastAsia" w:ascii="仿宋" w:hAnsi="仿宋" w:eastAsia="仿宋" w:cs="仿宋"/>
          <w:b/>
          <w:color w:val="auto"/>
          <w:szCs w:val="21"/>
          <w:highlight w:val="none"/>
        </w:rPr>
        <w:t>12.技术服务和保修责任</w:t>
      </w:r>
      <w:bookmarkEnd w:id="187"/>
      <w:bookmarkEnd w:id="188"/>
      <w:bookmarkEnd w:id="189"/>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12.1供方对政府采购合同货物的保修期，以招标文件中的规定为准，如果投标文件中的承诺优于招标文件规定，则以投标文件为准。</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12.2供方应按如下内容提供售后服务：</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12.2.1产品经过试运行期，所有性能指标达到技术规范书的要求时，可按招标文件、投标文件内容进行初验。在试运行期间，由于产品质量等造成某些指标达不到要求，供方须更换或进行修复，试运行期重新计算。</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12.2.3保修期间供方要保修除消耗品以外的所有产品。如果系统、设备等发生故障，供方要调查故障原因并修复直至满足最终验收指标和性能的要求，或者修理、更换整个或部分有缺陷的材料。</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12.2.4保修期内，供方提供电话、电子邮件、Web、现场服务等方式的技术支持，对用户的现场服务要求，供方必须按投标文件做出的承诺进行响应。</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12.2.5保修期内，供方应对出现故障无法修复的产品或无法正常运行的系统，提供替代产品以保证系统的正常工作。</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12.2.6保修期内，供方应投标时的承诺提供相关服务。</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pPr>
        <w:adjustRightInd w:val="0"/>
        <w:snapToGrid w:val="0"/>
        <w:spacing w:line="360" w:lineRule="auto"/>
        <w:ind w:firstLine="411" w:firstLineChars="196"/>
        <w:rPr>
          <w:rFonts w:hint="eastAsia" w:ascii="仿宋" w:hAnsi="仿宋" w:eastAsia="仿宋" w:cs="仿宋"/>
          <w:b/>
          <w:color w:val="auto"/>
          <w:szCs w:val="21"/>
          <w:highlight w:val="none"/>
        </w:rPr>
      </w:pPr>
      <w:bookmarkStart w:id="190" w:name="_Toc16924_WPSOffice_Level1"/>
      <w:bookmarkStart w:id="191" w:name="_Toc11781_WPSOffice_Level1"/>
      <w:bookmarkStart w:id="192" w:name="_Toc8548_WPSOffice_Level1"/>
      <w:r>
        <w:rPr>
          <w:rFonts w:hint="eastAsia" w:ascii="仿宋" w:hAnsi="仿宋" w:eastAsia="仿宋" w:cs="仿宋"/>
          <w:b/>
          <w:color w:val="auto"/>
          <w:szCs w:val="21"/>
          <w:highlight w:val="none"/>
        </w:rPr>
        <w:t>13.违约责任</w:t>
      </w:r>
      <w:bookmarkEnd w:id="190"/>
      <w:bookmarkEnd w:id="191"/>
      <w:bookmarkEnd w:id="192"/>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13.1如果供方未按照政府采购合同规定的要求交付政府采购合同货物和提供服务；或供方在收到需方要求更换有缺陷的货物或部件的通知后10日内或在供方签署货损证明后10日内没有补足或更换货物、或交货仍不符合要求；或供方未能履行政府采购合同约定的任何其它义务时，需方有权向供方发出违约通知书，供方应按照需方选择的下列一种或多种方式承担赔偿责任：</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13.1.1在需方同意延长的期限内交付全部货物、提供服务并承担由此给需方造成的一切损失；</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13.1.3根据货物低劣程度、损坏程度以及使需方所遭受的损失，经双方商定降低货物的价格或赔偿需方所遭受的损失；</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13.1.5需方有权部分或全部解除政府采购合同并要求供方赔偿由此造成的损失。此时需方可采取必要的补救措施，相关费用由供方承担。</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13.3延期交货的违约责任</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13.3.2如供方在政府采购合同规定的交货日期后10天内仍未能交货，则视为供方不能交货，需方有权解除政府采购合同，供方除退还已收取的货款外，还应向需方偿付政府采购合同总金额10%的违约金。</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13.4以上各项交付的违约金并不影响违约方履行政府采购合同的各项义务。</w:t>
      </w:r>
    </w:p>
    <w:p>
      <w:pPr>
        <w:adjustRightInd w:val="0"/>
        <w:snapToGrid w:val="0"/>
        <w:spacing w:line="360" w:lineRule="auto"/>
        <w:ind w:firstLine="411" w:firstLineChars="196"/>
        <w:rPr>
          <w:rFonts w:hint="eastAsia" w:ascii="仿宋" w:hAnsi="仿宋" w:eastAsia="仿宋" w:cs="仿宋"/>
          <w:b/>
          <w:color w:val="auto"/>
          <w:szCs w:val="21"/>
          <w:highlight w:val="none"/>
        </w:rPr>
      </w:pPr>
      <w:bookmarkStart w:id="193" w:name="_Toc32310_WPSOffice_Level1"/>
      <w:bookmarkStart w:id="194" w:name="_Toc28610_WPSOffice_Level1"/>
      <w:bookmarkStart w:id="195" w:name="_Toc21833_WPSOffice_Level1"/>
      <w:r>
        <w:rPr>
          <w:rFonts w:hint="eastAsia" w:ascii="仿宋" w:hAnsi="仿宋" w:eastAsia="仿宋" w:cs="仿宋"/>
          <w:b/>
          <w:color w:val="auto"/>
          <w:szCs w:val="21"/>
          <w:highlight w:val="none"/>
        </w:rPr>
        <w:t>14.不可抗力</w:t>
      </w:r>
      <w:bookmarkEnd w:id="193"/>
      <w:bookmarkEnd w:id="194"/>
      <w:bookmarkEnd w:id="195"/>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14.2本条所述的“不可抗力”系指那些双方无法控制，不可预见的事件，但不包括双方的违约或疏忽。这些事件包括但不限于：战争、严重火灾、洪水、台风、地震。</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pPr>
        <w:adjustRightInd w:val="0"/>
        <w:snapToGrid w:val="0"/>
        <w:spacing w:line="360" w:lineRule="auto"/>
        <w:ind w:firstLine="411" w:firstLineChars="196"/>
        <w:rPr>
          <w:rFonts w:hint="eastAsia" w:ascii="仿宋" w:hAnsi="仿宋" w:eastAsia="仿宋" w:cs="仿宋"/>
          <w:b/>
          <w:color w:val="auto"/>
          <w:szCs w:val="21"/>
          <w:highlight w:val="none"/>
        </w:rPr>
      </w:pPr>
      <w:bookmarkStart w:id="196" w:name="_Toc12037_WPSOffice_Level1"/>
      <w:bookmarkStart w:id="197" w:name="_Toc13390_WPSOffice_Level1"/>
      <w:bookmarkStart w:id="198" w:name="_Toc3262_WPSOffice_Level1"/>
      <w:r>
        <w:rPr>
          <w:rFonts w:hint="eastAsia" w:ascii="仿宋" w:hAnsi="仿宋" w:eastAsia="仿宋" w:cs="仿宋"/>
          <w:b/>
          <w:color w:val="auto"/>
          <w:szCs w:val="21"/>
          <w:highlight w:val="none"/>
        </w:rPr>
        <w:t>15.争端的解决</w:t>
      </w:r>
      <w:bookmarkEnd w:id="196"/>
      <w:bookmarkEnd w:id="197"/>
      <w:bookmarkEnd w:id="198"/>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15.1政府采购合同的履行、违约责任和解决争议的方法等适用《中华人民共和国民法典》。</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15.2需方和供方应通过友好协商，解决在执行本政府采购合同过程中所发生的或与本政府采购合同有关的一切争端。</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15.3如果协商不成，双方中的任何一方可向需方所在地的人民法院提起诉讼。</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15.4因政府采购合同部分履行引发诉讼的，在诉讼期间，除正在进行诉讼的部分外，本政府采购合同的其它部分应继续执行。</w:t>
      </w:r>
    </w:p>
    <w:p>
      <w:pPr>
        <w:adjustRightInd w:val="0"/>
        <w:snapToGrid w:val="0"/>
        <w:spacing w:line="360" w:lineRule="auto"/>
        <w:ind w:firstLine="411" w:firstLineChars="196"/>
        <w:rPr>
          <w:rFonts w:hint="eastAsia" w:ascii="仿宋" w:hAnsi="仿宋" w:eastAsia="仿宋" w:cs="仿宋"/>
          <w:b/>
          <w:color w:val="auto"/>
          <w:szCs w:val="21"/>
          <w:highlight w:val="none"/>
        </w:rPr>
      </w:pPr>
      <w:bookmarkStart w:id="199" w:name="_Toc1917_WPSOffice_Level1"/>
      <w:bookmarkStart w:id="200" w:name="_Toc7773_WPSOffice_Level1"/>
      <w:bookmarkStart w:id="201" w:name="_Toc27539_WPSOffice_Level1"/>
      <w:r>
        <w:rPr>
          <w:rFonts w:hint="eastAsia" w:ascii="仿宋" w:hAnsi="仿宋" w:eastAsia="仿宋" w:cs="仿宋"/>
          <w:b/>
          <w:color w:val="auto"/>
          <w:szCs w:val="21"/>
          <w:highlight w:val="none"/>
        </w:rPr>
        <w:t>16.违约终止政府采购合同</w:t>
      </w:r>
      <w:bookmarkEnd w:id="199"/>
      <w:bookmarkEnd w:id="200"/>
      <w:bookmarkEnd w:id="201"/>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16.1在需方因供方违约而按政府采购合同约定采取的任何补救措施均无效的情况下，需方可在下列情况下向供方发出书面通知，提出终止部分或全部政府采购合同。</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16.1.1如果供方未能在政府采购合同规定的限期或需方同意延长的限期内提供部分或全部货物和服务；</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16.1.2未经需方事先书面同意，供方部分转让和分包或全部转让和分包其应履行的政府采购合同义务。</w:t>
      </w:r>
    </w:p>
    <w:p>
      <w:pPr>
        <w:adjustRightInd w:val="0"/>
        <w:snapToGrid w:val="0"/>
        <w:spacing w:line="360" w:lineRule="auto"/>
        <w:ind w:firstLine="411" w:firstLineChars="196"/>
        <w:rPr>
          <w:rFonts w:hint="eastAsia" w:ascii="仿宋" w:hAnsi="仿宋" w:eastAsia="仿宋" w:cs="仿宋"/>
          <w:b/>
          <w:color w:val="auto"/>
          <w:szCs w:val="21"/>
          <w:highlight w:val="none"/>
        </w:rPr>
      </w:pPr>
      <w:bookmarkStart w:id="202" w:name="_Toc4220_WPSOffice_Level1"/>
      <w:bookmarkStart w:id="203" w:name="_Toc11967_WPSOffice_Level1"/>
      <w:bookmarkStart w:id="204" w:name="_Toc27976_WPSOffice_Level1"/>
      <w:r>
        <w:rPr>
          <w:rFonts w:hint="eastAsia" w:ascii="仿宋" w:hAnsi="仿宋" w:eastAsia="仿宋" w:cs="仿宋"/>
          <w:b/>
          <w:color w:val="auto"/>
          <w:szCs w:val="21"/>
          <w:highlight w:val="none"/>
        </w:rPr>
        <w:t>17.政府采购合同转让和分包</w:t>
      </w:r>
      <w:bookmarkEnd w:id="202"/>
      <w:bookmarkEnd w:id="203"/>
      <w:bookmarkEnd w:id="204"/>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除招标文件规定,并经需方事先书面同意外，供方不得部分转让和分包或全部转让和分包其应履行的政府采购合同义务。</w:t>
      </w:r>
    </w:p>
    <w:p>
      <w:pPr>
        <w:adjustRightInd w:val="0"/>
        <w:snapToGrid w:val="0"/>
        <w:spacing w:line="360" w:lineRule="auto"/>
        <w:ind w:firstLine="411" w:firstLineChars="196"/>
        <w:rPr>
          <w:rFonts w:hint="eastAsia" w:ascii="仿宋" w:hAnsi="仿宋" w:eastAsia="仿宋" w:cs="仿宋"/>
          <w:b/>
          <w:color w:val="auto"/>
          <w:szCs w:val="21"/>
          <w:highlight w:val="none"/>
        </w:rPr>
      </w:pPr>
      <w:bookmarkStart w:id="205" w:name="_Toc30020_WPSOffice_Level1"/>
      <w:bookmarkStart w:id="206" w:name="_Toc16873_WPSOffice_Level1"/>
      <w:bookmarkStart w:id="207" w:name="_Toc737_WPSOffice_Level1"/>
      <w:r>
        <w:rPr>
          <w:rFonts w:hint="eastAsia" w:ascii="仿宋" w:hAnsi="仿宋" w:eastAsia="仿宋" w:cs="仿宋"/>
          <w:b/>
          <w:color w:val="auto"/>
          <w:szCs w:val="21"/>
          <w:highlight w:val="none"/>
        </w:rPr>
        <w:t>18.适用法律：</w:t>
      </w:r>
      <w:bookmarkEnd w:id="205"/>
      <w:bookmarkEnd w:id="206"/>
      <w:bookmarkEnd w:id="207"/>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本政府采购合同按照中华人民共和国的现行法律进行解释。</w:t>
      </w:r>
    </w:p>
    <w:p>
      <w:pPr>
        <w:adjustRightInd w:val="0"/>
        <w:snapToGrid w:val="0"/>
        <w:spacing w:line="360" w:lineRule="auto"/>
        <w:ind w:firstLine="411" w:firstLineChars="196"/>
        <w:rPr>
          <w:rFonts w:hint="eastAsia" w:ascii="仿宋" w:hAnsi="仿宋" w:eastAsia="仿宋" w:cs="仿宋"/>
          <w:b/>
          <w:color w:val="auto"/>
          <w:szCs w:val="21"/>
          <w:highlight w:val="none"/>
        </w:rPr>
      </w:pPr>
      <w:bookmarkStart w:id="208" w:name="_Toc23749_WPSOffice_Level1"/>
      <w:bookmarkStart w:id="209" w:name="_Toc29009_WPSOffice_Level1"/>
      <w:bookmarkStart w:id="210" w:name="_Toc20985_WPSOffice_Level1"/>
      <w:r>
        <w:rPr>
          <w:rFonts w:hint="eastAsia" w:ascii="仿宋" w:hAnsi="仿宋" w:eastAsia="仿宋" w:cs="仿宋"/>
          <w:b/>
          <w:color w:val="auto"/>
          <w:szCs w:val="21"/>
          <w:highlight w:val="none"/>
        </w:rPr>
        <w:t>19.政府采购合同生效</w:t>
      </w:r>
      <w:bookmarkEnd w:id="208"/>
      <w:bookmarkEnd w:id="209"/>
      <w:bookmarkEnd w:id="210"/>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19.1本政府采购合同在供需双方法定代表人或其授权代理人签字和加盖公章后生效。</w:t>
      </w:r>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19.2本政府采购合同一式五份，需方执二份，供方、采购代理机构、财政部门各执一份。</w:t>
      </w:r>
    </w:p>
    <w:p>
      <w:pPr>
        <w:adjustRightInd w:val="0"/>
        <w:snapToGrid w:val="0"/>
        <w:spacing w:line="360" w:lineRule="auto"/>
        <w:ind w:firstLine="411" w:firstLineChars="196"/>
        <w:rPr>
          <w:rFonts w:hint="eastAsia" w:ascii="仿宋" w:hAnsi="仿宋" w:eastAsia="仿宋" w:cs="仿宋"/>
          <w:b/>
          <w:color w:val="auto"/>
          <w:szCs w:val="21"/>
          <w:highlight w:val="none"/>
        </w:rPr>
      </w:pPr>
      <w:bookmarkStart w:id="211" w:name="_Toc20274_WPSOffice_Level1"/>
      <w:bookmarkStart w:id="212" w:name="_Toc12339_WPSOffice_Level1"/>
      <w:bookmarkStart w:id="213" w:name="_Toc405_WPSOffice_Level1"/>
      <w:r>
        <w:rPr>
          <w:rFonts w:hint="eastAsia" w:ascii="仿宋" w:hAnsi="仿宋" w:eastAsia="仿宋" w:cs="仿宋"/>
          <w:b/>
          <w:color w:val="auto"/>
          <w:szCs w:val="21"/>
          <w:highlight w:val="none"/>
        </w:rPr>
        <w:t>20.政府采购合同附件</w:t>
      </w:r>
      <w:bookmarkEnd w:id="211"/>
      <w:bookmarkEnd w:id="212"/>
      <w:bookmarkEnd w:id="213"/>
    </w:p>
    <w:p>
      <w:pPr>
        <w:adjustRightInd w:val="0"/>
        <w:snapToGrid w:val="0"/>
        <w:spacing w:line="360" w:lineRule="auto"/>
        <w:ind w:firstLine="411"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下列文件构成本政府采购合同不可分割的组成部分，与本政府采购合同具有同等法律效力：</w:t>
      </w:r>
    </w:p>
    <w:p>
      <w:pPr>
        <w:adjustRightInd w:val="0"/>
        <w:snapToGrid w:val="0"/>
        <w:spacing w:line="360" w:lineRule="auto"/>
        <w:ind w:firstLine="411" w:firstLineChars="196"/>
        <w:rPr>
          <w:rFonts w:hint="eastAsia" w:ascii="仿宋" w:hAnsi="仿宋" w:eastAsia="仿宋" w:cs="仿宋"/>
          <w:color w:val="auto"/>
          <w:szCs w:val="21"/>
          <w:highlight w:val="none"/>
        </w:rPr>
      </w:pPr>
      <w:bookmarkStart w:id="214" w:name="_Toc3518_WPSOffice_Level2"/>
      <w:r>
        <w:rPr>
          <w:rFonts w:hint="eastAsia" w:ascii="仿宋" w:hAnsi="仿宋" w:eastAsia="仿宋" w:cs="仿宋"/>
          <w:color w:val="auto"/>
          <w:szCs w:val="21"/>
          <w:highlight w:val="none"/>
        </w:rPr>
        <w:t>20.1招标文件；</w:t>
      </w:r>
      <w:bookmarkEnd w:id="214"/>
    </w:p>
    <w:p>
      <w:pPr>
        <w:adjustRightInd w:val="0"/>
        <w:snapToGrid w:val="0"/>
        <w:spacing w:line="360" w:lineRule="auto"/>
        <w:ind w:firstLine="411" w:firstLineChars="196"/>
        <w:rPr>
          <w:rFonts w:hint="eastAsia" w:ascii="仿宋" w:hAnsi="仿宋" w:eastAsia="仿宋" w:cs="仿宋"/>
          <w:color w:val="auto"/>
          <w:szCs w:val="21"/>
          <w:highlight w:val="none"/>
        </w:rPr>
      </w:pPr>
      <w:bookmarkStart w:id="215" w:name="_Toc7342_WPSOffice_Level2"/>
      <w:r>
        <w:rPr>
          <w:rFonts w:hint="eastAsia" w:ascii="仿宋" w:hAnsi="仿宋" w:eastAsia="仿宋" w:cs="仿宋"/>
          <w:color w:val="auto"/>
          <w:szCs w:val="21"/>
          <w:highlight w:val="none"/>
        </w:rPr>
        <w:t>20.2招标文件的更正公告、变更公告；</w:t>
      </w:r>
      <w:bookmarkEnd w:id="215"/>
    </w:p>
    <w:p>
      <w:pPr>
        <w:adjustRightInd w:val="0"/>
        <w:snapToGrid w:val="0"/>
        <w:spacing w:line="360" w:lineRule="auto"/>
        <w:ind w:firstLine="411" w:firstLineChars="196"/>
        <w:rPr>
          <w:rFonts w:hint="eastAsia" w:ascii="仿宋" w:hAnsi="仿宋" w:eastAsia="仿宋" w:cs="仿宋"/>
          <w:color w:val="auto"/>
          <w:szCs w:val="21"/>
          <w:highlight w:val="none"/>
        </w:rPr>
      </w:pPr>
      <w:bookmarkStart w:id="216" w:name="_Toc576_WPSOffice_Level2"/>
      <w:r>
        <w:rPr>
          <w:rFonts w:hint="eastAsia" w:ascii="仿宋" w:hAnsi="仿宋" w:eastAsia="仿宋" w:cs="仿宋"/>
          <w:color w:val="auto"/>
          <w:szCs w:val="21"/>
          <w:highlight w:val="none"/>
        </w:rPr>
        <w:t>20.3中标人提交的投标文件；</w:t>
      </w:r>
      <w:bookmarkEnd w:id="216"/>
    </w:p>
    <w:p>
      <w:pPr>
        <w:adjustRightInd w:val="0"/>
        <w:snapToGrid w:val="0"/>
        <w:spacing w:line="360" w:lineRule="auto"/>
        <w:ind w:firstLine="411" w:firstLineChars="196"/>
        <w:rPr>
          <w:rFonts w:hint="eastAsia" w:ascii="仿宋" w:hAnsi="仿宋" w:eastAsia="仿宋" w:cs="仿宋"/>
          <w:color w:val="auto"/>
          <w:szCs w:val="21"/>
          <w:highlight w:val="none"/>
        </w:rPr>
      </w:pPr>
      <w:bookmarkStart w:id="217" w:name="_Toc25464_WPSOffice_Level2"/>
      <w:r>
        <w:rPr>
          <w:rFonts w:hint="eastAsia" w:ascii="仿宋" w:hAnsi="仿宋" w:eastAsia="仿宋" w:cs="仿宋"/>
          <w:color w:val="auto"/>
          <w:szCs w:val="21"/>
          <w:highlight w:val="none"/>
        </w:rPr>
        <w:t>20.4政府采购合同条款；</w:t>
      </w:r>
      <w:bookmarkEnd w:id="217"/>
    </w:p>
    <w:p>
      <w:pPr>
        <w:adjustRightInd w:val="0"/>
        <w:snapToGrid w:val="0"/>
        <w:spacing w:line="360" w:lineRule="auto"/>
        <w:ind w:firstLine="411" w:firstLineChars="196"/>
        <w:rPr>
          <w:rFonts w:hint="eastAsia" w:ascii="仿宋" w:hAnsi="仿宋" w:eastAsia="仿宋" w:cs="仿宋"/>
          <w:color w:val="auto"/>
          <w:szCs w:val="21"/>
          <w:highlight w:val="none"/>
        </w:rPr>
      </w:pPr>
      <w:bookmarkStart w:id="218" w:name="_Toc25590_WPSOffice_Level2"/>
      <w:r>
        <w:rPr>
          <w:rFonts w:hint="eastAsia" w:ascii="仿宋" w:hAnsi="仿宋" w:eastAsia="仿宋" w:cs="仿宋"/>
          <w:color w:val="auto"/>
          <w:szCs w:val="21"/>
          <w:highlight w:val="none"/>
        </w:rPr>
        <w:t>20.5中标通知书；</w:t>
      </w:r>
      <w:bookmarkEnd w:id="218"/>
    </w:p>
    <w:p>
      <w:pPr>
        <w:adjustRightInd w:val="0"/>
        <w:snapToGrid w:val="0"/>
        <w:spacing w:line="360" w:lineRule="auto"/>
        <w:ind w:firstLine="411" w:firstLineChars="196"/>
        <w:rPr>
          <w:rFonts w:hint="eastAsia" w:ascii="仿宋" w:hAnsi="仿宋" w:eastAsia="仿宋" w:cs="仿宋"/>
          <w:color w:val="auto"/>
          <w:szCs w:val="21"/>
          <w:highlight w:val="none"/>
        </w:rPr>
      </w:pPr>
      <w:bookmarkStart w:id="219" w:name="_Toc10297_WPSOffice_Level2"/>
      <w:r>
        <w:rPr>
          <w:rFonts w:hint="eastAsia" w:ascii="仿宋" w:hAnsi="仿宋" w:eastAsia="仿宋" w:cs="仿宋"/>
          <w:color w:val="auto"/>
          <w:szCs w:val="21"/>
          <w:highlight w:val="none"/>
        </w:rPr>
        <w:t>20.6政府采购合同的其它附件。</w:t>
      </w:r>
      <w:bookmarkEnd w:id="219"/>
    </w:p>
    <w:p>
      <w:pPr>
        <w:ind w:firstLine="470" w:firstLineChars="196"/>
        <w:rPr>
          <w:rFonts w:hint="eastAsia" w:ascii="仿宋" w:hAnsi="仿宋" w:eastAsia="仿宋" w:cs="仿宋"/>
          <w:color w:val="auto"/>
          <w:sz w:val="24"/>
          <w:highlight w:val="none"/>
        </w:rPr>
      </w:pPr>
    </w:p>
    <w:p>
      <w:pPr>
        <w:ind w:firstLine="470" w:firstLineChars="196"/>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pStyle w:val="3"/>
        <w:adjustRightInd w:val="0"/>
        <w:snapToGrid w:val="0"/>
        <w:spacing w:before="0" w:after="0" w:line="240" w:lineRule="auto"/>
        <w:jc w:val="left"/>
        <w:rPr>
          <w:rFonts w:hint="eastAsia" w:ascii="仿宋" w:hAnsi="仿宋" w:eastAsia="仿宋" w:cs="仿宋"/>
          <w:color w:val="auto"/>
          <w:sz w:val="21"/>
          <w:szCs w:val="21"/>
          <w:highlight w:val="none"/>
        </w:rPr>
      </w:pPr>
      <w:bookmarkStart w:id="220" w:name="_Toc3044_WPSOffice_Level1"/>
      <w:bookmarkStart w:id="221" w:name="_Toc7342_WPSOffice_Level1"/>
      <w:bookmarkStart w:id="222" w:name="_Toc372_WPSOffice_Level1"/>
      <w:r>
        <w:rPr>
          <w:rFonts w:hint="eastAsia" w:ascii="仿宋" w:hAnsi="仿宋" w:eastAsia="仿宋" w:cs="仿宋"/>
          <w:color w:val="auto"/>
          <w:szCs w:val="28"/>
          <w:highlight w:val="none"/>
        </w:rPr>
        <w:t>合同格式</w:t>
      </w:r>
      <w:bookmarkEnd w:id="220"/>
      <w:bookmarkEnd w:id="221"/>
      <w:bookmarkEnd w:id="222"/>
    </w:p>
    <w:p>
      <w:pPr>
        <w:adjustRightInd w:val="0"/>
        <w:snapToGrid w:val="0"/>
        <w:spacing w:line="360" w:lineRule="auto"/>
        <w:jc w:val="center"/>
        <w:rPr>
          <w:rFonts w:hint="eastAsia" w:ascii="仿宋" w:hAnsi="仿宋" w:eastAsia="仿宋" w:cs="仿宋"/>
          <w:b/>
          <w:bCs/>
          <w:color w:val="auto"/>
          <w:sz w:val="44"/>
          <w:szCs w:val="44"/>
          <w:highlight w:val="none"/>
        </w:rPr>
      </w:pPr>
      <w:bookmarkStart w:id="223" w:name="_Toc7832_WPSOffice_Level1"/>
      <w:bookmarkStart w:id="224" w:name="_Toc11644_WPSOffice_Level1"/>
      <w:r>
        <w:rPr>
          <w:rFonts w:hint="eastAsia" w:ascii="仿宋" w:hAnsi="仿宋" w:eastAsia="仿宋" w:cs="仿宋"/>
          <w:b/>
          <w:bCs/>
          <w:color w:val="auto"/>
          <w:sz w:val="44"/>
          <w:szCs w:val="44"/>
          <w:highlight w:val="none"/>
        </w:rPr>
        <w:t>政府采购合同格式</w:t>
      </w:r>
      <w:bookmarkEnd w:id="223"/>
      <w:bookmarkEnd w:id="224"/>
    </w:p>
    <w:p>
      <w:pPr>
        <w:adjustRightInd w:val="0"/>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政府采购合同编号：</w:t>
      </w:r>
    </w:p>
    <w:p>
      <w:pPr>
        <w:adjustRightInd w:val="0"/>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签订地点：</w:t>
      </w:r>
    </w:p>
    <w:p>
      <w:pPr>
        <w:adjustRightInd w:val="0"/>
        <w:snapToGrid w:val="0"/>
        <w:spacing w:line="360" w:lineRule="auto"/>
        <w:ind w:firstLine="64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(需方名称</w:t>
      </w:r>
      <w:r>
        <w:rPr>
          <w:rFonts w:hint="eastAsia" w:ascii="仿宋" w:hAnsi="仿宋" w:eastAsia="仿宋" w:cs="仿宋"/>
          <w:color w:val="auto"/>
          <w:szCs w:val="21"/>
          <w:highlight w:val="none"/>
        </w:rPr>
        <w:t>) （以下简称需方）和</w:t>
      </w:r>
      <w:r>
        <w:rPr>
          <w:rFonts w:hint="eastAsia" w:ascii="仿宋" w:hAnsi="仿宋" w:eastAsia="仿宋" w:cs="仿宋"/>
          <w:color w:val="auto"/>
          <w:szCs w:val="21"/>
          <w:highlight w:val="none"/>
          <w:u w:val="single"/>
        </w:rPr>
        <w:t xml:space="preserve">   (供方名称)    </w:t>
      </w:r>
      <w:r>
        <w:rPr>
          <w:rFonts w:hint="eastAsia" w:ascii="仿宋" w:hAnsi="仿宋" w:eastAsia="仿宋" w:cs="仿宋"/>
          <w:color w:val="auto"/>
          <w:szCs w:val="21"/>
          <w:highlight w:val="none"/>
        </w:rPr>
        <w:t xml:space="preserve"> （以下简称供方）根据《中华人民共和国民法典》和有关法律法规，遵循平等、自愿、公平和诚实信用原则，同意按照下面的条款和条件订立本政府采购合同，共同信守。</w:t>
      </w:r>
    </w:p>
    <w:p>
      <w:pPr>
        <w:adjustRightInd w:val="0"/>
        <w:snapToGrid w:val="0"/>
        <w:spacing w:line="360" w:lineRule="auto"/>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　　</w:t>
      </w:r>
      <w:bookmarkStart w:id="225" w:name="_Toc13230_WPSOffice_Level2"/>
      <w:r>
        <w:rPr>
          <w:rFonts w:hint="eastAsia" w:ascii="仿宋" w:hAnsi="仿宋" w:eastAsia="仿宋" w:cs="仿宋"/>
          <w:b/>
          <w:color w:val="auto"/>
          <w:szCs w:val="21"/>
          <w:highlight w:val="none"/>
        </w:rPr>
        <w:t>一、政府采购合同文件</w:t>
      </w:r>
      <w:bookmarkEnd w:id="225"/>
    </w:p>
    <w:p>
      <w:pPr>
        <w:adjustRightInd w:val="0"/>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本政府采购合同所附下列文件是构成本政府采购合同不可分割的部分：</w:t>
      </w:r>
    </w:p>
    <w:p>
      <w:pPr>
        <w:adjustRightInd w:val="0"/>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1.招标文件（招标文件编号）；</w:t>
      </w:r>
    </w:p>
    <w:p>
      <w:pPr>
        <w:adjustRightInd w:val="0"/>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2.招标文件的更正公告、变更公告；</w:t>
      </w:r>
    </w:p>
    <w:p>
      <w:pPr>
        <w:adjustRightInd w:val="0"/>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3.中标人提交的投标文件；</w:t>
      </w:r>
    </w:p>
    <w:p>
      <w:pPr>
        <w:adjustRightInd w:val="0"/>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4.政府采购合同条款；</w:t>
      </w:r>
    </w:p>
    <w:p>
      <w:pPr>
        <w:adjustRightInd w:val="0"/>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5.中标通知书；</w:t>
      </w:r>
    </w:p>
    <w:p>
      <w:pPr>
        <w:adjustRightInd w:val="0"/>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6.政府采购合同的其它附件。</w:t>
      </w:r>
    </w:p>
    <w:p>
      <w:pPr>
        <w:adjustRightInd w:val="0"/>
        <w:snapToGrid w:val="0"/>
        <w:spacing w:line="360" w:lineRule="auto"/>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　　</w:t>
      </w:r>
      <w:bookmarkStart w:id="226" w:name="_Toc19527_WPSOffice_Level2"/>
      <w:r>
        <w:rPr>
          <w:rFonts w:hint="eastAsia" w:ascii="仿宋" w:hAnsi="仿宋" w:eastAsia="仿宋" w:cs="仿宋"/>
          <w:b/>
          <w:color w:val="auto"/>
          <w:szCs w:val="21"/>
          <w:highlight w:val="none"/>
        </w:rPr>
        <w:t>二、政府采购合同范围和条件</w:t>
      </w:r>
      <w:bookmarkEnd w:id="226"/>
    </w:p>
    <w:p>
      <w:pPr>
        <w:adjustRightInd w:val="0"/>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本政府采购合同的范围和条件与上述政府采购合同文件的规定相一致。</w:t>
      </w:r>
    </w:p>
    <w:p>
      <w:pPr>
        <w:adjustRightInd w:val="0"/>
        <w:snapToGrid w:val="0"/>
        <w:spacing w:line="360" w:lineRule="auto"/>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　　</w:t>
      </w:r>
      <w:bookmarkStart w:id="227" w:name="_Toc18050_WPSOffice_Level2"/>
      <w:r>
        <w:rPr>
          <w:rFonts w:hint="eastAsia" w:ascii="仿宋" w:hAnsi="仿宋" w:eastAsia="仿宋" w:cs="仿宋"/>
          <w:b/>
          <w:color w:val="auto"/>
          <w:szCs w:val="21"/>
          <w:highlight w:val="none"/>
        </w:rPr>
        <w:t>三、政府采购合同标的</w:t>
      </w:r>
      <w:bookmarkEnd w:id="227"/>
    </w:p>
    <w:p>
      <w:pPr>
        <w:adjustRightInd w:val="0"/>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本政府采购合同的标的为招标文件中所列货物及相关服务。</w:t>
      </w:r>
    </w:p>
    <w:p>
      <w:pPr>
        <w:adjustRightInd w:val="0"/>
        <w:snapToGrid w:val="0"/>
        <w:spacing w:line="360" w:lineRule="auto"/>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　　</w:t>
      </w:r>
      <w:bookmarkStart w:id="228" w:name="_Toc27886_WPSOffice_Level2"/>
      <w:r>
        <w:rPr>
          <w:rFonts w:hint="eastAsia" w:ascii="仿宋" w:hAnsi="仿宋" w:eastAsia="仿宋" w:cs="仿宋"/>
          <w:b/>
          <w:color w:val="auto"/>
          <w:szCs w:val="21"/>
          <w:highlight w:val="none"/>
        </w:rPr>
        <w:t>四、政府采购合同金额</w:t>
      </w:r>
      <w:bookmarkEnd w:id="228"/>
    </w:p>
    <w:p>
      <w:pPr>
        <w:adjustRightInd w:val="0"/>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根据上述政府采购合同文件要求，政府采购合同的总金额为人民币</w:t>
      </w:r>
      <w:r>
        <w:rPr>
          <w:rFonts w:hint="eastAsia" w:ascii="仿宋" w:hAnsi="仿宋" w:eastAsia="仿宋" w:cs="仿宋"/>
          <w:color w:val="auto"/>
          <w:szCs w:val="21"/>
          <w:highlight w:val="none"/>
          <w:u w:val="single"/>
        </w:rPr>
        <w:t xml:space="preserve">  （大写）                </w:t>
      </w:r>
      <w:r>
        <w:rPr>
          <w:rFonts w:hint="eastAsia" w:ascii="仿宋" w:hAnsi="仿宋" w:eastAsia="仿宋" w:cs="仿宋"/>
          <w:color w:val="auto"/>
          <w:szCs w:val="21"/>
          <w:highlight w:val="none"/>
        </w:rPr>
        <w:t xml:space="preserve"> 元。</w:t>
      </w:r>
    </w:p>
    <w:p>
      <w:pPr>
        <w:adjustRightInd w:val="0"/>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注：存在分项产品的必须清晰列明分项产品明细，包括名称、数量、分项报价等，并作为合同组成部分。</w:t>
      </w:r>
    </w:p>
    <w:p>
      <w:pPr>
        <w:adjustRightInd w:val="0"/>
        <w:snapToGrid w:val="0"/>
        <w:spacing w:line="360" w:lineRule="auto"/>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　　</w:t>
      </w:r>
      <w:bookmarkStart w:id="229" w:name="_Toc22211_WPSOffice_Level2"/>
      <w:r>
        <w:rPr>
          <w:rFonts w:hint="eastAsia" w:ascii="仿宋" w:hAnsi="仿宋" w:eastAsia="仿宋" w:cs="仿宋"/>
          <w:b/>
          <w:color w:val="auto"/>
          <w:szCs w:val="21"/>
          <w:highlight w:val="none"/>
        </w:rPr>
        <w:t>五、付款方式及条件</w:t>
      </w:r>
      <w:bookmarkEnd w:id="229"/>
    </w:p>
    <w:p>
      <w:pPr>
        <w:adjustRightInd w:val="0"/>
        <w:snapToGrid w:val="0"/>
        <w:spacing w:line="360" w:lineRule="auto"/>
        <w:jc w:val="left"/>
        <w:rPr>
          <w:rFonts w:hint="eastAsia" w:ascii="仿宋" w:hAnsi="仿宋" w:eastAsia="仿宋" w:cs="仿宋"/>
          <w:b/>
          <w:color w:val="auto"/>
          <w:szCs w:val="21"/>
          <w:highlight w:val="none"/>
        </w:rPr>
      </w:pPr>
    </w:p>
    <w:p>
      <w:pPr>
        <w:adjustRightInd w:val="0"/>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b/>
          <w:color w:val="auto"/>
          <w:szCs w:val="21"/>
          <w:highlight w:val="none"/>
        </w:rPr>
        <w:t>　　</w:t>
      </w:r>
      <w:bookmarkStart w:id="230" w:name="_Toc27813_WPSOffice_Level2"/>
      <w:r>
        <w:rPr>
          <w:rFonts w:hint="eastAsia" w:ascii="仿宋" w:hAnsi="仿宋" w:eastAsia="仿宋" w:cs="仿宋"/>
          <w:b/>
          <w:color w:val="auto"/>
          <w:szCs w:val="21"/>
          <w:highlight w:val="none"/>
        </w:rPr>
        <w:t>六、交货时间和交货地点</w:t>
      </w:r>
      <w:bookmarkEnd w:id="230"/>
    </w:p>
    <w:p>
      <w:pPr>
        <w:adjustRightInd w:val="0"/>
        <w:snapToGrid w:val="0"/>
        <w:spacing w:line="360" w:lineRule="auto"/>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 xml:space="preserve">    1.交货时间：</w:t>
      </w:r>
    </w:p>
    <w:p>
      <w:pPr>
        <w:adjustRightInd w:val="0"/>
        <w:snapToGrid w:val="0"/>
        <w:spacing w:line="360" w:lineRule="auto"/>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 xml:space="preserve">    2.交货地点：</w:t>
      </w:r>
    </w:p>
    <w:p>
      <w:pPr>
        <w:adjustRightInd w:val="0"/>
        <w:snapToGrid w:val="0"/>
        <w:spacing w:line="360" w:lineRule="auto"/>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　　</w:t>
      </w:r>
      <w:bookmarkStart w:id="231" w:name="_Toc12497_WPSOffice_Level2"/>
      <w:r>
        <w:rPr>
          <w:rFonts w:hint="eastAsia" w:ascii="仿宋" w:hAnsi="仿宋" w:eastAsia="仿宋" w:cs="仿宋"/>
          <w:b/>
          <w:color w:val="auto"/>
          <w:szCs w:val="21"/>
          <w:highlight w:val="none"/>
        </w:rPr>
        <w:t>七、验收要求</w:t>
      </w:r>
      <w:bookmarkEnd w:id="231"/>
    </w:p>
    <w:p>
      <w:pPr>
        <w:adjustRightInd w:val="0"/>
        <w:snapToGrid w:val="0"/>
        <w:spacing w:line="360" w:lineRule="auto"/>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供方完全履行合同义务后，需方或需方的最终用户按照上述政府采购合同文件列明的标准进行验收，验收不合格的，供方需按照第八条第2款的约定承担相应违约责任。</w:t>
      </w:r>
    </w:p>
    <w:p>
      <w:pPr>
        <w:adjustRightInd w:val="0"/>
        <w:snapToGrid w:val="0"/>
        <w:spacing w:line="360" w:lineRule="auto"/>
        <w:jc w:val="left"/>
        <w:rPr>
          <w:rFonts w:hint="eastAsia" w:ascii="仿宋" w:hAnsi="仿宋" w:eastAsia="仿宋" w:cs="仿宋"/>
          <w:b/>
          <w:color w:val="auto"/>
          <w:szCs w:val="21"/>
          <w:highlight w:val="none"/>
        </w:rPr>
      </w:pPr>
      <w:bookmarkStart w:id="232" w:name="_Toc4868_WPSOffice_Level2"/>
      <w:r>
        <w:rPr>
          <w:rFonts w:hint="eastAsia" w:ascii="仿宋" w:hAnsi="仿宋" w:eastAsia="仿宋" w:cs="仿宋"/>
          <w:b/>
          <w:color w:val="auto"/>
          <w:szCs w:val="21"/>
          <w:highlight w:val="none"/>
        </w:rPr>
        <w:t>八、违约责任</w:t>
      </w:r>
      <w:bookmarkEnd w:id="232"/>
    </w:p>
    <w:p>
      <w:pPr>
        <w:adjustRightInd w:val="0"/>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1.供方逾期供货的，每逾期一天向需方支付逾期供货金额%的违约金，逾期日的，需方有权单方面解除本协议。</w:t>
      </w:r>
    </w:p>
    <w:p>
      <w:pPr>
        <w:adjustRightInd w:val="0"/>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2.供方交付的货物不符合约定的，供方无条件更换符合约定的货物，并按照最终提供合格货物的日期遵照前款承担违约责任，更换一次货物后仍不符合约定的，需方有权单方面解除本协议。</w:t>
      </w:r>
    </w:p>
    <w:p>
      <w:pPr>
        <w:adjustRightInd w:val="0"/>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3.需方逾期付款的，每逾期一天向供方支付逾期金额%的违约金，逾期日的，供方有权单方面解除本协议。</w:t>
      </w:r>
    </w:p>
    <w:p>
      <w:pPr>
        <w:adjustRightInd w:val="0"/>
        <w:snapToGrid w:val="0"/>
        <w:spacing w:line="360" w:lineRule="auto"/>
        <w:jc w:val="left"/>
        <w:rPr>
          <w:rFonts w:hint="eastAsia" w:ascii="仿宋" w:hAnsi="仿宋" w:eastAsia="仿宋" w:cs="仿宋"/>
          <w:b/>
          <w:color w:val="auto"/>
          <w:szCs w:val="21"/>
          <w:highlight w:val="none"/>
        </w:rPr>
      </w:pPr>
      <w:bookmarkStart w:id="233" w:name="_Toc24496_WPSOffice_Level2"/>
      <w:r>
        <w:rPr>
          <w:rFonts w:hint="eastAsia" w:ascii="仿宋" w:hAnsi="仿宋" w:eastAsia="仿宋" w:cs="仿宋"/>
          <w:b/>
          <w:color w:val="auto"/>
          <w:szCs w:val="21"/>
          <w:highlight w:val="none"/>
        </w:rPr>
        <w:t>九、争议解决</w:t>
      </w:r>
      <w:bookmarkEnd w:id="233"/>
    </w:p>
    <w:p>
      <w:pPr>
        <w:adjustRightInd w:val="0"/>
        <w:snapToGrid w:val="0"/>
        <w:spacing w:line="360" w:lineRule="auto"/>
        <w:jc w:val="left"/>
        <w:rPr>
          <w:rFonts w:hint="eastAsia" w:ascii="仿宋" w:hAnsi="仿宋" w:eastAsia="仿宋" w:cs="仿宋"/>
          <w:b/>
          <w:color w:val="auto"/>
          <w:szCs w:val="21"/>
          <w:highlight w:val="none"/>
        </w:rPr>
      </w:pPr>
      <w:r>
        <w:rPr>
          <w:rFonts w:hint="eastAsia" w:ascii="仿宋" w:hAnsi="仿宋" w:eastAsia="仿宋" w:cs="仿宋"/>
          <w:color w:val="auto"/>
          <w:szCs w:val="21"/>
          <w:highlight w:val="none"/>
        </w:rPr>
        <w:t xml:space="preserve">    双方因履行本协议而产生的争议，应友好协商解决，协商不成的，任何一方可向需方所在地的人民法院提起诉讼。</w:t>
      </w:r>
    </w:p>
    <w:p>
      <w:pPr>
        <w:adjustRightInd w:val="0"/>
        <w:snapToGrid w:val="0"/>
        <w:spacing w:line="360" w:lineRule="auto"/>
        <w:jc w:val="left"/>
        <w:rPr>
          <w:rFonts w:hint="eastAsia" w:ascii="仿宋" w:hAnsi="仿宋" w:eastAsia="仿宋" w:cs="仿宋"/>
          <w:b/>
          <w:color w:val="auto"/>
          <w:szCs w:val="21"/>
          <w:highlight w:val="none"/>
        </w:rPr>
      </w:pPr>
      <w:bookmarkStart w:id="234" w:name="_Toc24974_WPSOffice_Level2"/>
      <w:r>
        <w:rPr>
          <w:rFonts w:hint="eastAsia" w:ascii="仿宋" w:hAnsi="仿宋" w:eastAsia="仿宋" w:cs="仿宋"/>
          <w:b/>
          <w:color w:val="auto"/>
          <w:szCs w:val="21"/>
          <w:highlight w:val="none"/>
        </w:rPr>
        <w:t>十、合同生效</w:t>
      </w:r>
      <w:bookmarkEnd w:id="234"/>
    </w:p>
    <w:p>
      <w:pPr>
        <w:adjustRightInd w:val="0"/>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本政府采购合同经双方授权代表签字盖章后生效。</w:t>
      </w:r>
    </w:p>
    <w:p>
      <w:pPr>
        <w:adjustRightInd w:val="0"/>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需方（公章）:                       供方(公章):</w:t>
      </w:r>
    </w:p>
    <w:p>
      <w:pPr>
        <w:adjustRightInd w:val="0"/>
        <w:snapToGrid w:val="0"/>
        <w:spacing w:line="360" w:lineRule="auto"/>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法定代表人或授权代表人(签字):         法定代表人或授权代表人(签字):</w:t>
      </w:r>
    </w:p>
    <w:p>
      <w:pPr>
        <w:adjustRightInd w:val="0"/>
        <w:snapToGrid w:val="0"/>
        <w:spacing w:line="360" w:lineRule="auto"/>
        <w:ind w:firstLine="420" w:firstLineChars="2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地址：      地址：</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联系人：      联系人：</w:t>
      </w:r>
    </w:p>
    <w:p>
      <w:pPr>
        <w:adjustRightInd w:val="0"/>
        <w:snapToGrid w:val="0"/>
        <w:spacing w:line="360" w:lineRule="auto"/>
        <w:ind w:firstLine="420" w:firstLineChars="2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电话：      电话：</w:t>
      </w:r>
    </w:p>
    <w:p>
      <w:pPr>
        <w:adjustRightInd w:val="0"/>
        <w:snapToGrid w:val="0"/>
        <w:spacing w:line="360" w:lineRule="auto"/>
        <w:ind w:firstLine="420" w:firstLineChars="2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传真：      传真：</w:t>
      </w:r>
    </w:p>
    <w:p>
      <w:pPr>
        <w:adjustRightInd w:val="0"/>
        <w:snapToGrid w:val="0"/>
        <w:spacing w:line="360" w:lineRule="auto"/>
        <w:ind w:firstLine="420" w:firstLineChars="2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邮编：      邮编：</w:t>
      </w:r>
    </w:p>
    <w:p>
      <w:pPr>
        <w:adjustRightInd w:val="0"/>
        <w:snapToGrid w:val="0"/>
        <w:spacing w:line="360" w:lineRule="auto"/>
        <w:ind w:firstLine="420" w:firstLineChars="2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日期：</w:t>
      </w:r>
      <w:r>
        <w:rPr>
          <w:rFonts w:hint="eastAsia" w:ascii="仿宋" w:hAnsi="仿宋" w:eastAsia="仿宋" w:cs="仿宋"/>
          <w:color w:val="auto"/>
          <w:szCs w:val="21"/>
          <w:highlight w:val="none"/>
          <w:u w:val="single"/>
        </w:rPr>
        <w:t xml:space="preserve">      年      月      日</w:t>
      </w:r>
      <w:r>
        <w:rPr>
          <w:rFonts w:hint="eastAsia" w:ascii="仿宋" w:hAnsi="仿宋" w:eastAsia="仿宋" w:cs="仿宋"/>
          <w:color w:val="auto"/>
          <w:szCs w:val="21"/>
          <w:highlight w:val="none"/>
        </w:rPr>
        <w:t xml:space="preserve">      日期：</w:t>
      </w:r>
      <w:r>
        <w:rPr>
          <w:rFonts w:hint="eastAsia" w:ascii="仿宋" w:hAnsi="仿宋" w:eastAsia="仿宋" w:cs="仿宋"/>
          <w:color w:val="auto"/>
          <w:szCs w:val="21"/>
          <w:highlight w:val="none"/>
          <w:u w:val="single"/>
        </w:rPr>
        <w:t xml:space="preserve">       年      月     日</w:t>
      </w:r>
    </w:p>
    <w:p>
      <w:pPr>
        <w:widowControl/>
        <w:jc w:val="left"/>
        <w:rPr>
          <w:rFonts w:hint="eastAsia" w:ascii="仿宋" w:hAnsi="仿宋" w:eastAsia="仿宋" w:cs="仿宋"/>
          <w:b/>
          <w:color w:val="auto"/>
          <w:sz w:val="28"/>
          <w:szCs w:val="28"/>
          <w:highlight w:val="none"/>
        </w:rPr>
      </w:pPr>
    </w:p>
    <w:bookmarkEnd w:id="151"/>
    <w:p>
      <w:pPr>
        <w:wordWrap w:val="0"/>
        <w:adjustRightInd w:val="0"/>
        <w:snapToGrid w:val="0"/>
        <w:spacing w:line="360" w:lineRule="auto"/>
        <w:jc w:val="right"/>
        <w:rPr>
          <w:rFonts w:hint="eastAsia" w:ascii="仿宋" w:hAnsi="仿宋" w:eastAsia="仿宋" w:cs="仿宋"/>
          <w:color w:val="auto"/>
          <w:szCs w:val="21"/>
          <w:highlight w:val="none"/>
        </w:rPr>
      </w:pPr>
    </w:p>
    <w:p>
      <w:pPr>
        <w:wordWrap w:val="0"/>
        <w:adjustRightInd w:val="0"/>
        <w:snapToGrid w:val="0"/>
        <w:spacing w:line="360" w:lineRule="auto"/>
        <w:jc w:val="right"/>
        <w:rPr>
          <w:rFonts w:hint="eastAsia" w:ascii="仿宋" w:hAnsi="仿宋" w:eastAsia="仿宋" w:cs="仿宋"/>
          <w:color w:val="auto"/>
          <w:szCs w:val="21"/>
          <w:highlight w:val="none"/>
        </w:rPr>
      </w:pPr>
    </w:p>
    <w:sectPr>
      <w:pgSz w:w="11906" w:h="16838"/>
      <w:pgMar w:top="1440" w:right="1803" w:bottom="1440" w:left="1803" w:header="851" w:footer="992"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decorative"/>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2</w: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7800A4"/>
    <w:multiLevelType w:val="singleLevel"/>
    <w:tmpl w:val="8D7800A4"/>
    <w:lvl w:ilvl="0" w:tentative="0">
      <w:start w:val="1"/>
      <w:numFmt w:val="chineseCounting"/>
      <w:suff w:val="space"/>
      <w:lvlText w:val="第%1章"/>
      <w:lvlJc w:val="left"/>
      <w:rPr>
        <w:rFonts w:hint="eastAsia"/>
      </w:rPr>
    </w:lvl>
  </w:abstractNum>
  <w:abstractNum w:abstractNumId="1">
    <w:nsid w:val="B4FDF470"/>
    <w:multiLevelType w:val="singleLevel"/>
    <w:tmpl w:val="B4FDF470"/>
    <w:lvl w:ilvl="0" w:tentative="0">
      <w:start w:val="1"/>
      <w:numFmt w:val="decimal"/>
      <w:suff w:val="nothing"/>
      <w:lvlText w:val="（%1）"/>
      <w:lvlJc w:val="left"/>
    </w:lvl>
  </w:abstractNum>
  <w:abstractNum w:abstractNumId="2">
    <w:nsid w:val="B9A1E8D1"/>
    <w:multiLevelType w:val="singleLevel"/>
    <w:tmpl w:val="B9A1E8D1"/>
    <w:lvl w:ilvl="0" w:tentative="0">
      <w:start w:val="1"/>
      <w:numFmt w:val="decimal"/>
      <w:suff w:val="nothing"/>
      <w:lvlText w:val="（%1）"/>
      <w:lvlJc w:val="left"/>
    </w:lvl>
  </w:abstractNum>
  <w:abstractNum w:abstractNumId="3">
    <w:nsid w:val="EE8E3184"/>
    <w:multiLevelType w:val="singleLevel"/>
    <w:tmpl w:val="EE8E3184"/>
    <w:lvl w:ilvl="0" w:tentative="0">
      <w:start w:val="1"/>
      <w:numFmt w:val="decimal"/>
      <w:suff w:val="nothing"/>
      <w:lvlText w:val="（%1）"/>
      <w:lvlJc w:val="left"/>
    </w:lvl>
  </w:abstractNum>
  <w:abstractNum w:abstractNumId="4">
    <w:nsid w:val="27E8E525"/>
    <w:multiLevelType w:val="singleLevel"/>
    <w:tmpl w:val="27E8E525"/>
    <w:lvl w:ilvl="0" w:tentative="0">
      <w:start w:val="1"/>
      <w:numFmt w:val="decimal"/>
      <w:suff w:val="nothing"/>
      <w:lvlText w:val="（%1）"/>
      <w:lvlJc w:val="left"/>
    </w:lvl>
  </w:abstractNum>
  <w:abstractNum w:abstractNumId="5">
    <w:nsid w:val="420C153B"/>
    <w:multiLevelType w:val="multilevel"/>
    <w:tmpl w:val="420C153B"/>
    <w:lvl w:ilvl="0" w:tentative="0">
      <w:start w:val="1"/>
      <w:numFmt w:val="decimal"/>
      <w:pStyle w:val="2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468ACDF8"/>
    <w:multiLevelType w:val="singleLevel"/>
    <w:tmpl w:val="468ACDF8"/>
    <w:lvl w:ilvl="0" w:tentative="0">
      <w:start w:val="2"/>
      <w:numFmt w:val="chineseCounting"/>
      <w:suff w:val="nothing"/>
      <w:lvlText w:val="（%1）"/>
      <w:lvlJc w:val="left"/>
      <w:rPr>
        <w:rFonts w:hint="eastAsia"/>
      </w:rPr>
    </w:lvl>
  </w:abstractNum>
  <w:abstractNum w:abstractNumId="7">
    <w:nsid w:val="7B4156D0"/>
    <w:multiLevelType w:val="singleLevel"/>
    <w:tmpl w:val="7B4156D0"/>
    <w:lvl w:ilvl="0" w:tentative="0">
      <w:start w:val="1"/>
      <w:numFmt w:val="decimal"/>
      <w:suff w:val="nothing"/>
      <w:lvlText w:val="（%1）"/>
      <w:lvlJc w:val="left"/>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mZGEyOGNlMDY3ZjA5ZmVmZDkzOGYxMTAyZTc2NDcifQ=="/>
  </w:docVars>
  <w:rsids>
    <w:rsidRoot w:val="35AB3B2B"/>
    <w:rsid w:val="00001D20"/>
    <w:rsid w:val="00004125"/>
    <w:rsid w:val="0000641B"/>
    <w:rsid w:val="00007440"/>
    <w:rsid w:val="00017AF4"/>
    <w:rsid w:val="00024251"/>
    <w:rsid w:val="000341B1"/>
    <w:rsid w:val="00051172"/>
    <w:rsid w:val="00056F1E"/>
    <w:rsid w:val="000577D5"/>
    <w:rsid w:val="00062FCE"/>
    <w:rsid w:val="000730A7"/>
    <w:rsid w:val="00080F44"/>
    <w:rsid w:val="00084D3F"/>
    <w:rsid w:val="00092BC6"/>
    <w:rsid w:val="000A696E"/>
    <w:rsid w:val="000B6FF4"/>
    <w:rsid w:val="000C3A16"/>
    <w:rsid w:val="000C45C0"/>
    <w:rsid w:val="000D2859"/>
    <w:rsid w:val="000E2E67"/>
    <w:rsid w:val="000E663A"/>
    <w:rsid w:val="000F0A3D"/>
    <w:rsid w:val="001006F2"/>
    <w:rsid w:val="00102A03"/>
    <w:rsid w:val="00112D2F"/>
    <w:rsid w:val="0011622C"/>
    <w:rsid w:val="00125079"/>
    <w:rsid w:val="00153E3D"/>
    <w:rsid w:val="00154309"/>
    <w:rsid w:val="00163B9A"/>
    <w:rsid w:val="00170000"/>
    <w:rsid w:val="001711BB"/>
    <w:rsid w:val="00171212"/>
    <w:rsid w:val="001A10E9"/>
    <w:rsid w:val="001B28CD"/>
    <w:rsid w:val="001C6199"/>
    <w:rsid w:val="001D6499"/>
    <w:rsid w:val="001E32C3"/>
    <w:rsid w:val="001E69F3"/>
    <w:rsid w:val="001F2B1F"/>
    <w:rsid w:val="00201D14"/>
    <w:rsid w:val="002220C1"/>
    <w:rsid w:val="00223C9B"/>
    <w:rsid w:val="00237843"/>
    <w:rsid w:val="00250B65"/>
    <w:rsid w:val="00254A05"/>
    <w:rsid w:val="00275045"/>
    <w:rsid w:val="00285E04"/>
    <w:rsid w:val="00297998"/>
    <w:rsid w:val="002A262E"/>
    <w:rsid w:val="002B2B54"/>
    <w:rsid w:val="002C79A6"/>
    <w:rsid w:val="002D095A"/>
    <w:rsid w:val="003000ED"/>
    <w:rsid w:val="00302A71"/>
    <w:rsid w:val="003216E0"/>
    <w:rsid w:val="00333267"/>
    <w:rsid w:val="00347D42"/>
    <w:rsid w:val="00362E10"/>
    <w:rsid w:val="003879AD"/>
    <w:rsid w:val="00393C8D"/>
    <w:rsid w:val="00396190"/>
    <w:rsid w:val="003A0A83"/>
    <w:rsid w:val="003A0C5B"/>
    <w:rsid w:val="003B3DB5"/>
    <w:rsid w:val="003B3F78"/>
    <w:rsid w:val="003C2E8F"/>
    <w:rsid w:val="003C32AC"/>
    <w:rsid w:val="003C63A6"/>
    <w:rsid w:val="003C7F66"/>
    <w:rsid w:val="003D27FC"/>
    <w:rsid w:val="003E2902"/>
    <w:rsid w:val="003F38B1"/>
    <w:rsid w:val="00403226"/>
    <w:rsid w:val="0042221A"/>
    <w:rsid w:val="00425155"/>
    <w:rsid w:val="00426C65"/>
    <w:rsid w:val="00440750"/>
    <w:rsid w:val="00442823"/>
    <w:rsid w:val="0045483E"/>
    <w:rsid w:val="00460499"/>
    <w:rsid w:val="00465DC4"/>
    <w:rsid w:val="0048013C"/>
    <w:rsid w:val="00481BAD"/>
    <w:rsid w:val="004838DC"/>
    <w:rsid w:val="00496012"/>
    <w:rsid w:val="0049745C"/>
    <w:rsid w:val="004A1A92"/>
    <w:rsid w:val="004A1D8B"/>
    <w:rsid w:val="004C5563"/>
    <w:rsid w:val="004E3769"/>
    <w:rsid w:val="004E4BAC"/>
    <w:rsid w:val="005018C5"/>
    <w:rsid w:val="00502E90"/>
    <w:rsid w:val="00513444"/>
    <w:rsid w:val="005227FD"/>
    <w:rsid w:val="005448AD"/>
    <w:rsid w:val="00552A48"/>
    <w:rsid w:val="0055604D"/>
    <w:rsid w:val="0055608C"/>
    <w:rsid w:val="0056074F"/>
    <w:rsid w:val="00566384"/>
    <w:rsid w:val="005756BA"/>
    <w:rsid w:val="00575A00"/>
    <w:rsid w:val="00575F8E"/>
    <w:rsid w:val="00581FD9"/>
    <w:rsid w:val="00584C97"/>
    <w:rsid w:val="005B7018"/>
    <w:rsid w:val="005C11FC"/>
    <w:rsid w:val="005D49FC"/>
    <w:rsid w:val="005D523F"/>
    <w:rsid w:val="005E4A02"/>
    <w:rsid w:val="005F2452"/>
    <w:rsid w:val="005F3121"/>
    <w:rsid w:val="006072BB"/>
    <w:rsid w:val="00613AD2"/>
    <w:rsid w:val="0062157E"/>
    <w:rsid w:val="006279B9"/>
    <w:rsid w:val="006314BF"/>
    <w:rsid w:val="00633CA8"/>
    <w:rsid w:val="00635F97"/>
    <w:rsid w:val="00636D14"/>
    <w:rsid w:val="00640136"/>
    <w:rsid w:val="0064074B"/>
    <w:rsid w:val="00642EAC"/>
    <w:rsid w:val="006546F2"/>
    <w:rsid w:val="00684C44"/>
    <w:rsid w:val="0069059A"/>
    <w:rsid w:val="0069767F"/>
    <w:rsid w:val="006C78CF"/>
    <w:rsid w:val="006D4E40"/>
    <w:rsid w:val="006D5B4F"/>
    <w:rsid w:val="006F5C69"/>
    <w:rsid w:val="0070077B"/>
    <w:rsid w:val="00741475"/>
    <w:rsid w:val="00764EE8"/>
    <w:rsid w:val="00784140"/>
    <w:rsid w:val="007C2CCC"/>
    <w:rsid w:val="007D0A2A"/>
    <w:rsid w:val="007F14E4"/>
    <w:rsid w:val="007F1855"/>
    <w:rsid w:val="007F18A5"/>
    <w:rsid w:val="007F315A"/>
    <w:rsid w:val="007F5AA0"/>
    <w:rsid w:val="007F5AC9"/>
    <w:rsid w:val="007F774A"/>
    <w:rsid w:val="00803A51"/>
    <w:rsid w:val="0085543B"/>
    <w:rsid w:val="00876A74"/>
    <w:rsid w:val="00885FE6"/>
    <w:rsid w:val="008A07F8"/>
    <w:rsid w:val="008D1E72"/>
    <w:rsid w:val="008D297F"/>
    <w:rsid w:val="008D2B28"/>
    <w:rsid w:val="008D32DE"/>
    <w:rsid w:val="008E1F6C"/>
    <w:rsid w:val="008E20CD"/>
    <w:rsid w:val="008E37AC"/>
    <w:rsid w:val="008E5B7A"/>
    <w:rsid w:val="008F249C"/>
    <w:rsid w:val="008F4A8F"/>
    <w:rsid w:val="008F6E80"/>
    <w:rsid w:val="008F7CA4"/>
    <w:rsid w:val="00900E6A"/>
    <w:rsid w:val="00931C17"/>
    <w:rsid w:val="00936C49"/>
    <w:rsid w:val="00944572"/>
    <w:rsid w:val="00946992"/>
    <w:rsid w:val="0094701F"/>
    <w:rsid w:val="00953227"/>
    <w:rsid w:val="009740DF"/>
    <w:rsid w:val="0098744A"/>
    <w:rsid w:val="00987F43"/>
    <w:rsid w:val="00994CC8"/>
    <w:rsid w:val="00997019"/>
    <w:rsid w:val="009A3A1B"/>
    <w:rsid w:val="009A5F69"/>
    <w:rsid w:val="009A70BD"/>
    <w:rsid w:val="009B310E"/>
    <w:rsid w:val="009E428A"/>
    <w:rsid w:val="009F4690"/>
    <w:rsid w:val="00A05D3C"/>
    <w:rsid w:val="00A155F7"/>
    <w:rsid w:val="00A20495"/>
    <w:rsid w:val="00A237C2"/>
    <w:rsid w:val="00A2757B"/>
    <w:rsid w:val="00A27ED3"/>
    <w:rsid w:val="00A30936"/>
    <w:rsid w:val="00A413A6"/>
    <w:rsid w:val="00A429CD"/>
    <w:rsid w:val="00A6193E"/>
    <w:rsid w:val="00A82127"/>
    <w:rsid w:val="00A90E41"/>
    <w:rsid w:val="00AA4459"/>
    <w:rsid w:val="00AB297E"/>
    <w:rsid w:val="00AC4735"/>
    <w:rsid w:val="00AC4F4E"/>
    <w:rsid w:val="00AC72CA"/>
    <w:rsid w:val="00AD58F8"/>
    <w:rsid w:val="00AE6103"/>
    <w:rsid w:val="00AF702F"/>
    <w:rsid w:val="00B34597"/>
    <w:rsid w:val="00B34B5B"/>
    <w:rsid w:val="00B35BD1"/>
    <w:rsid w:val="00B45EAC"/>
    <w:rsid w:val="00B47161"/>
    <w:rsid w:val="00B47A77"/>
    <w:rsid w:val="00B63443"/>
    <w:rsid w:val="00B73DD6"/>
    <w:rsid w:val="00B82712"/>
    <w:rsid w:val="00BA7264"/>
    <w:rsid w:val="00BA7453"/>
    <w:rsid w:val="00BB1D83"/>
    <w:rsid w:val="00BB241E"/>
    <w:rsid w:val="00BB5E97"/>
    <w:rsid w:val="00BB6AEE"/>
    <w:rsid w:val="00BC22DA"/>
    <w:rsid w:val="00BD03EB"/>
    <w:rsid w:val="00BF2574"/>
    <w:rsid w:val="00BF4409"/>
    <w:rsid w:val="00BF5725"/>
    <w:rsid w:val="00C041B7"/>
    <w:rsid w:val="00C160E3"/>
    <w:rsid w:val="00C16AB5"/>
    <w:rsid w:val="00C25539"/>
    <w:rsid w:val="00C2639B"/>
    <w:rsid w:val="00C53FF8"/>
    <w:rsid w:val="00C65295"/>
    <w:rsid w:val="00C66946"/>
    <w:rsid w:val="00C9111A"/>
    <w:rsid w:val="00C9148F"/>
    <w:rsid w:val="00CA7336"/>
    <w:rsid w:val="00CC7443"/>
    <w:rsid w:val="00CF06D6"/>
    <w:rsid w:val="00CF77F2"/>
    <w:rsid w:val="00D01EB5"/>
    <w:rsid w:val="00D20DC8"/>
    <w:rsid w:val="00D249CE"/>
    <w:rsid w:val="00D31C69"/>
    <w:rsid w:val="00D33D22"/>
    <w:rsid w:val="00D34A65"/>
    <w:rsid w:val="00D411F2"/>
    <w:rsid w:val="00D519BD"/>
    <w:rsid w:val="00D52014"/>
    <w:rsid w:val="00D602FB"/>
    <w:rsid w:val="00D60B11"/>
    <w:rsid w:val="00D70A03"/>
    <w:rsid w:val="00D77C54"/>
    <w:rsid w:val="00D81F13"/>
    <w:rsid w:val="00D8435D"/>
    <w:rsid w:val="00D87717"/>
    <w:rsid w:val="00D95734"/>
    <w:rsid w:val="00DA4744"/>
    <w:rsid w:val="00DB10A5"/>
    <w:rsid w:val="00DB41F3"/>
    <w:rsid w:val="00DD084B"/>
    <w:rsid w:val="00DE76CC"/>
    <w:rsid w:val="00E01590"/>
    <w:rsid w:val="00E0524F"/>
    <w:rsid w:val="00E13885"/>
    <w:rsid w:val="00E4425F"/>
    <w:rsid w:val="00E83E68"/>
    <w:rsid w:val="00E96DA4"/>
    <w:rsid w:val="00EA6FE2"/>
    <w:rsid w:val="00EB5386"/>
    <w:rsid w:val="00ED617D"/>
    <w:rsid w:val="00EE68FA"/>
    <w:rsid w:val="00EF29D6"/>
    <w:rsid w:val="00F05317"/>
    <w:rsid w:val="00F054E3"/>
    <w:rsid w:val="00F05EBD"/>
    <w:rsid w:val="00F12BEA"/>
    <w:rsid w:val="00F16439"/>
    <w:rsid w:val="00F16FF4"/>
    <w:rsid w:val="00F3061C"/>
    <w:rsid w:val="00F31388"/>
    <w:rsid w:val="00F44C10"/>
    <w:rsid w:val="00F5200B"/>
    <w:rsid w:val="00F61503"/>
    <w:rsid w:val="00F64DEA"/>
    <w:rsid w:val="00F67C2D"/>
    <w:rsid w:val="00F7590E"/>
    <w:rsid w:val="00F94824"/>
    <w:rsid w:val="00F95A7E"/>
    <w:rsid w:val="00FC15F9"/>
    <w:rsid w:val="00FC6CD4"/>
    <w:rsid w:val="00FC7FD4"/>
    <w:rsid w:val="00FD57C2"/>
    <w:rsid w:val="00FF2C4E"/>
    <w:rsid w:val="00FF75E6"/>
    <w:rsid w:val="01007E42"/>
    <w:rsid w:val="01275D20"/>
    <w:rsid w:val="017734C4"/>
    <w:rsid w:val="01864D83"/>
    <w:rsid w:val="019A5532"/>
    <w:rsid w:val="01F376F8"/>
    <w:rsid w:val="029E7AD0"/>
    <w:rsid w:val="02A16E70"/>
    <w:rsid w:val="02B349AE"/>
    <w:rsid w:val="02F545EC"/>
    <w:rsid w:val="02FA30D3"/>
    <w:rsid w:val="03090322"/>
    <w:rsid w:val="032759B1"/>
    <w:rsid w:val="036F159C"/>
    <w:rsid w:val="03A07AD7"/>
    <w:rsid w:val="03EC73DD"/>
    <w:rsid w:val="049D565A"/>
    <w:rsid w:val="04AC72EC"/>
    <w:rsid w:val="05190704"/>
    <w:rsid w:val="057B7AFF"/>
    <w:rsid w:val="0580226C"/>
    <w:rsid w:val="05905FD2"/>
    <w:rsid w:val="059B2E14"/>
    <w:rsid w:val="05AA531D"/>
    <w:rsid w:val="05CD3179"/>
    <w:rsid w:val="05D067D9"/>
    <w:rsid w:val="05FE190F"/>
    <w:rsid w:val="06306B73"/>
    <w:rsid w:val="06750C66"/>
    <w:rsid w:val="06DB7470"/>
    <w:rsid w:val="06EF58D3"/>
    <w:rsid w:val="06F27667"/>
    <w:rsid w:val="07026F93"/>
    <w:rsid w:val="07116147"/>
    <w:rsid w:val="075E76FE"/>
    <w:rsid w:val="079B0BC0"/>
    <w:rsid w:val="07B34DB3"/>
    <w:rsid w:val="0855720F"/>
    <w:rsid w:val="085B4F44"/>
    <w:rsid w:val="088D5F5C"/>
    <w:rsid w:val="08A26242"/>
    <w:rsid w:val="0941245A"/>
    <w:rsid w:val="094C565A"/>
    <w:rsid w:val="096D5AA7"/>
    <w:rsid w:val="0997077C"/>
    <w:rsid w:val="09BC7504"/>
    <w:rsid w:val="09FD11BF"/>
    <w:rsid w:val="0A13499B"/>
    <w:rsid w:val="0A260FC3"/>
    <w:rsid w:val="0A2B6A3F"/>
    <w:rsid w:val="0A643AC5"/>
    <w:rsid w:val="0AB823C4"/>
    <w:rsid w:val="0ACA4546"/>
    <w:rsid w:val="0B14682F"/>
    <w:rsid w:val="0B825441"/>
    <w:rsid w:val="0BA525D8"/>
    <w:rsid w:val="0BD50CE3"/>
    <w:rsid w:val="0BF55B92"/>
    <w:rsid w:val="0C2F6006"/>
    <w:rsid w:val="0C426CB3"/>
    <w:rsid w:val="0C5056AF"/>
    <w:rsid w:val="0C5B37C6"/>
    <w:rsid w:val="0C602928"/>
    <w:rsid w:val="0C8352C9"/>
    <w:rsid w:val="0C88726E"/>
    <w:rsid w:val="0CCB7B51"/>
    <w:rsid w:val="0CE866DD"/>
    <w:rsid w:val="0D416E49"/>
    <w:rsid w:val="0D4A4C3B"/>
    <w:rsid w:val="0D5B2BA8"/>
    <w:rsid w:val="0D8F1B47"/>
    <w:rsid w:val="0DA0360B"/>
    <w:rsid w:val="0DA47700"/>
    <w:rsid w:val="0DB55C17"/>
    <w:rsid w:val="0DC134A7"/>
    <w:rsid w:val="0E4D03C4"/>
    <w:rsid w:val="0E512BF8"/>
    <w:rsid w:val="0EF37672"/>
    <w:rsid w:val="0EF46240"/>
    <w:rsid w:val="0EFD592E"/>
    <w:rsid w:val="0F1964F3"/>
    <w:rsid w:val="0F465E03"/>
    <w:rsid w:val="0F5002B6"/>
    <w:rsid w:val="0F5C1D51"/>
    <w:rsid w:val="0F620FFF"/>
    <w:rsid w:val="0F681E22"/>
    <w:rsid w:val="0F6C20F8"/>
    <w:rsid w:val="0F9262E5"/>
    <w:rsid w:val="0FEE60A0"/>
    <w:rsid w:val="1000028B"/>
    <w:rsid w:val="100B5B75"/>
    <w:rsid w:val="10390CED"/>
    <w:rsid w:val="103F1B00"/>
    <w:rsid w:val="10797991"/>
    <w:rsid w:val="10837165"/>
    <w:rsid w:val="108D7FEC"/>
    <w:rsid w:val="10C34A85"/>
    <w:rsid w:val="10EB0A61"/>
    <w:rsid w:val="10F96CD3"/>
    <w:rsid w:val="110662B7"/>
    <w:rsid w:val="110D477C"/>
    <w:rsid w:val="111125C9"/>
    <w:rsid w:val="11230728"/>
    <w:rsid w:val="114317C8"/>
    <w:rsid w:val="11504EEC"/>
    <w:rsid w:val="117E3EBF"/>
    <w:rsid w:val="11921F79"/>
    <w:rsid w:val="119D5F23"/>
    <w:rsid w:val="11A63895"/>
    <w:rsid w:val="11AA0E33"/>
    <w:rsid w:val="11D465DE"/>
    <w:rsid w:val="11DB026D"/>
    <w:rsid w:val="11F35E10"/>
    <w:rsid w:val="121E003E"/>
    <w:rsid w:val="123238F4"/>
    <w:rsid w:val="124E6914"/>
    <w:rsid w:val="128276A4"/>
    <w:rsid w:val="12871737"/>
    <w:rsid w:val="12B45137"/>
    <w:rsid w:val="12D84CD4"/>
    <w:rsid w:val="12F51579"/>
    <w:rsid w:val="12F85CAD"/>
    <w:rsid w:val="12FD7CCA"/>
    <w:rsid w:val="13042B7A"/>
    <w:rsid w:val="13167841"/>
    <w:rsid w:val="131909C4"/>
    <w:rsid w:val="131F2662"/>
    <w:rsid w:val="137139DD"/>
    <w:rsid w:val="13B47F15"/>
    <w:rsid w:val="13C139AF"/>
    <w:rsid w:val="13E01C4A"/>
    <w:rsid w:val="14011AE1"/>
    <w:rsid w:val="142B0848"/>
    <w:rsid w:val="14333776"/>
    <w:rsid w:val="144E16AB"/>
    <w:rsid w:val="144F6715"/>
    <w:rsid w:val="147A16BB"/>
    <w:rsid w:val="149C206F"/>
    <w:rsid w:val="14AA5797"/>
    <w:rsid w:val="154D743D"/>
    <w:rsid w:val="15667555"/>
    <w:rsid w:val="158D492B"/>
    <w:rsid w:val="15A97268"/>
    <w:rsid w:val="15CF1DD7"/>
    <w:rsid w:val="15E224A7"/>
    <w:rsid w:val="160C07B5"/>
    <w:rsid w:val="16150220"/>
    <w:rsid w:val="16397A1B"/>
    <w:rsid w:val="164342FA"/>
    <w:rsid w:val="165351E7"/>
    <w:rsid w:val="165770B0"/>
    <w:rsid w:val="16A22BEB"/>
    <w:rsid w:val="16CB645F"/>
    <w:rsid w:val="16E11B7C"/>
    <w:rsid w:val="171820A2"/>
    <w:rsid w:val="171877C6"/>
    <w:rsid w:val="17571001"/>
    <w:rsid w:val="17647109"/>
    <w:rsid w:val="17707BBF"/>
    <w:rsid w:val="177572AC"/>
    <w:rsid w:val="17776970"/>
    <w:rsid w:val="179E6119"/>
    <w:rsid w:val="17BA1FA3"/>
    <w:rsid w:val="17CB05D4"/>
    <w:rsid w:val="17CF624F"/>
    <w:rsid w:val="181270D8"/>
    <w:rsid w:val="183A7AB3"/>
    <w:rsid w:val="18402742"/>
    <w:rsid w:val="185C4B83"/>
    <w:rsid w:val="18C80336"/>
    <w:rsid w:val="190C0B53"/>
    <w:rsid w:val="19206826"/>
    <w:rsid w:val="19962C12"/>
    <w:rsid w:val="19AE3FA6"/>
    <w:rsid w:val="1AC3684A"/>
    <w:rsid w:val="1ACA77FB"/>
    <w:rsid w:val="1ACC5BF8"/>
    <w:rsid w:val="1AD774CB"/>
    <w:rsid w:val="1AE92FD5"/>
    <w:rsid w:val="1B1E67F8"/>
    <w:rsid w:val="1B200CF6"/>
    <w:rsid w:val="1B2A7529"/>
    <w:rsid w:val="1B390BDC"/>
    <w:rsid w:val="1B4E55E8"/>
    <w:rsid w:val="1B8E7170"/>
    <w:rsid w:val="1BBD111D"/>
    <w:rsid w:val="1BE0443F"/>
    <w:rsid w:val="1C471722"/>
    <w:rsid w:val="1C5C588F"/>
    <w:rsid w:val="1C983F97"/>
    <w:rsid w:val="1CB1569A"/>
    <w:rsid w:val="1CB313F6"/>
    <w:rsid w:val="1CE82D35"/>
    <w:rsid w:val="1CEF0D6A"/>
    <w:rsid w:val="1CFB6B14"/>
    <w:rsid w:val="1D3C45B0"/>
    <w:rsid w:val="1D4028B0"/>
    <w:rsid w:val="1D613CFF"/>
    <w:rsid w:val="1E00462C"/>
    <w:rsid w:val="1E1C5E73"/>
    <w:rsid w:val="1E3D5BFF"/>
    <w:rsid w:val="1E3F5B0A"/>
    <w:rsid w:val="1E402DD2"/>
    <w:rsid w:val="1E462655"/>
    <w:rsid w:val="1E5B585E"/>
    <w:rsid w:val="1E703E54"/>
    <w:rsid w:val="1EA0459D"/>
    <w:rsid w:val="1EB21D4C"/>
    <w:rsid w:val="1ECC5D06"/>
    <w:rsid w:val="1ED42809"/>
    <w:rsid w:val="1EEF0477"/>
    <w:rsid w:val="1EF26162"/>
    <w:rsid w:val="1F6457D9"/>
    <w:rsid w:val="1F64740B"/>
    <w:rsid w:val="1F6966C8"/>
    <w:rsid w:val="1F6A2CF4"/>
    <w:rsid w:val="1F9F2549"/>
    <w:rsid w:val="1FCC5382"/>
    <w:rsid w:val="1FD86B10"/>
    <w:rsid w:val="1FFD6FC8"/>
    <w:rsid w:val="201221D2"/>
    <w:rsid w:val="202279CC"/>
    <w:rsid w:val="20441B19"/>
    <w:rsid w:val="20663493"/>
    <w:rsid w:val="2069018D"/>
    <w:rsid w:val="2078256A"/>
    <w:rsid w:val="20A0219D"/>
    <w:rsid w:val="20AB38D2"/>
    <w:rsid w:val="20B60991"/>
    <w:rsid w:val="20B87A68"/>
    <w:rsid w:val="20BF45FE"/>
    <w:rsid w:val="20C70459"/>
    <w:rsid w:val="2102069D"/>
    <w:rsid w:val="2106288F"/>
    <w:rsid w:val="21082292"/>
    <w:rsid w:val="21C9221A"/>
    <w:rsid w:val="22160B82"/>
    <w:rsid w:val="228952D6"/>
    <w:rsid w:val="2297314D"/>
    <w:rsid w:val="229F23A9"/>
    <w:rsid w:val="22A279E3"/>
    <w:rsid w:val="22BA2B41"/>
    <w:rsid w:val="22D26F9A"/>
    <w:rsid w:val="233C7E85"/>
    <w:rsid w:val="23AC3027"/>
    <w:rsid w:val="23AF69F1"/>
    <w:rsid w:val="23B12896"/>
    <w:rsid w:val="23CB0902"/>
    <w:rsid w:val="23E11A3F"/>
    <w:rsid w:val="23F316BB"/>
    <w:rsid w:val="24763848"/>
    <w:rsid w:val="247C12B5"/>
    <w:rsid w:val="24827E18"/>
    <w:rsid w:val="24963225"/>
    <w:rsid w:val="24C31569"/>
    <w:rsid w:val="24C9231F"/>
    <w:rsid w:val="24D52D8A"/>
    <w:rsid w:val="25377C12"/>
    <w:rsid w:val="25752CBA"/>
    <w:rsid w:val="25902E9C"/>
    <w:rsid w:val="25B0273C"/>
    <w:rsid w:val="25D45C3E"/>
    <w:rsid w:val="25DD61F7"/>
    <w:rsid w:val="25E81861"/>
    <w:rsid w:val="26034EF6"/>
    <w:rsid w:val="260E6047"/>
    <w:rsid w:val="26344440"/>
    <w:rsid w:val="263D5C2C"/>
    <w:rsid w:val="2682292E"/>
    <w:rsid w:val="26AF716B"/>
    <w:rsid w:val="26B57F3A"/>
    <w:rsid w:val="27126E5B"/>
    <w:rsid w:val="27437FDF"/>
    <w:rsid w:val="275B4E31"/>
    <w:rsid w:val="276E7580"/>
    <w:rsid w:val="279E1806"/>
    <w:rsid w:val="279F27E3"/>
    <w:rsid w:val="27C40F6B"/>
    <w:rsid w:val="28073099"/>
    <w:rsid w:val="281E11E4"/>
    <w:rsid w:val="28907C53"/>
    <w:rsid w:val="28B92147"/>
    <w:rsid w:val="28E318D4"/>
    <w:rsid w:val="293624BD"/>
    <w:rsid w:val="294D49C5"/>
    <w:rsid w:val="296231D6"/>
    <w:rsid w:val="29B616C2"/>
    <w:rsid w:val="29BA0A21"/>
    <w:rsid w:val="29BB2399"/>
    <w:rsid w:val="2A19597B"/>
    <w:rsid w:val="2A23324E"/>
    <w:rsid w:val="2A456A43"/>
    <w:rsid w:val="2A6C2D68"/>
    <w:rsid w:val="2A6F0AFC"/>
    <w:rsid w:val="2A7439F6"/>
    <w:rsid w:val="2ACE0C31"/>
    <w:rsid w:val="2AFD4EC5"/>
    <w:rsid w:val="2AFF1738"/>
    <w:rsid w:val="2B046437"/>
    <w:rsid w:val="2B1B420B"/>
    <w:rsid w:val="2B376F2C"/>
    <w:rsid w:val="2B417276"/>
    <w:rsid w:val="2B5A5895"/>
    <w:rsid w:val="2B954A46"/>
    <w:rsid w:val="2BA17364"/>
    <w:rsid w:val="2C765025"/>
    <w:rsid w:val="2C815051"/>
    <w:rsid w:val="2C852F06"/>
    <w:rsid w:val="2C981CCD"/>
    <w:rsid w:val="2C9F53AF"/>
    <w:rsid w:val="2CBA641B"/>
    <w:rsid w:val="2D040C32"/>
    <w:rsid w:val="2D0757A6"/>
    <w:rsid w:val="2D982E0B"/>
    <w:rsid w:val="2DB53B3B"/>
    <w:rsid w:val="2DCB5CD4"/>
    <w:rsid w:val="2DCC44FF"/>
    <w:rsid w:val="2E072654"/>
    <w:rsid w:val="2E0F6CAF"/>
    <w:rsid w:val="2E3D32FC"/>
    <w:rsid w:val="2E5E1319"/>
    <w:rsid w:val="2E6F38EF"/>
    <w:rsid w:val="2EC24EAE"/>
    <w:rsid w:val="2F47109C"/>
    <w:rsid w:val="2F4B2213"/>
    <w:rsid w:val="2F757F47"/>
    <w:rsid w:val="2F8868AA"/>
    <w:rsid w:val="2F8B4DEA"/>
    <w:rsid w:val="2F9075F6"/>
    <w:rsid w:val="2F965A58"/>
    <w:rsid w:val="2F9A594D"/>
    <w:rsid w:val="2FF3519E"/>
    <w:rsid w:val="30303517"/>
    <w:rsid w:val="307B4A76"/>
    <w:rsid w:val="308E13FA"/>
    <w:rsid w:val="311E4999"/>
    <w:rsid w:val="312573D2"/>
    <w:rsid w:val="31300A9C"/>
    <w:rsid w:val="313279B0"/>
    <w:rsid w:val="31785EB2"/>
    <w:rsid w:val="317F3D7D"/>
    <w:rsid w:val="31960D20"/>
    <w:rsid w:val="31A435DE"/>
    <w:rsid w:val="31CD0C24"/>
    <w:rsid w:val="31F0559B"/>
    <w:rsid w:val="31FF60CF"/>
    <w:rsid w:val="322963D4"/>
    <w:rsid w:val="32490EF5"/>
    <w:rsid w:val="324E528F"/>
    <w:rsid w:val="32642296"/>
    <w:rsid w:val="326B085A"/>
    <w:rsid w:val="32A01606"/>
    <w:rsid w:val="32BD6FFF"/>
    <w:rsid w:val="32C94A9C"/>
    <w:rsid w:val="32D040EC"/>
    <w:rsid w:val="32D93D68"/>
    <w:rsid w:val="32E120A3"/>
    <w:rsid w:val="33092D4F"/>
    <w:rsid w:val="332D454F"/>
    <w:rsid w:val="33426DD3"/>
    <w:rsid w:val="334E1463"/>
    <w:rsid w:val="339165C1"/>
    <w:rsid w:val="33C85644"/>
    <w:rsid w:val="348E3F5F"/>
    <w:rsid w:val="34A07D70"/>
    <w:rsid w:val="34AE125F"/>
    <w:rsid w:val="34D84426"/>
    <w:rsid w:val="34D85063"/>
    <w:rsid w:val="352548D7"/>
    <w:rsid w:val="352A70A8"/>
    <w:rsid w:val="359B5E22"/>
    <w:rsid w:val="359C1AAB"/>
    <w:rsid w:val="35A63D95"/>
    <w:rsid w:val="35AB3B2B"/>
    <w:rsid w:val="35B11597"/>
    <w:rsid w:val="35B27244"/>
    <w:rsid w:val="360B3E62"/>
    <w:rsid w:val="364970DE"/>
    <w:rsid w:val="364E1FAC"/>
    <w:rsid w:val="36503AF9"/>
    <w:rsid w:val="366C02C0"/>
    <w:rsid w:val="367F29FE"/>
    <w:rsid w:val="36C24DA9"/>
    <w:rsid w:val="36C26B8E"/>
    <w:rsid w:val="36E41E01"/>
    <w:rsid w:val="36FA7861"/>
    <w:rsid w:val="3716362D"/>
    <w:rsid w:val="372907BF"/>
    <w:rsid w:val="3744619F"/>
    <w:rsid w:val="374E03A8"/>
    <w:rsid w:val="375F48B5"/>
    <w:rsid w:val="37797AAB"/>
    <w:rsid w:val="37965565"/>
    <w:rsid w:val="37EA0581"/>
    <w:rsid w:val="38683E4F"/>
    <w:rsid w:val="38710E3F"/>
    <w:rsid w:val="389649C5"/>
    <w:rsid w:val="3971655D"/>
    <w:rsid w:val="39B941F6"/>
    <w:rsid w:val="39BA1ADC"/>
    <w:rsid w:val="39F40A57"/>
    <w:rsid w:val="3A735F50"/>
    <w:rsid w:val="3A8D08BE"/>
    <w:rsid w:val="3AE356EC"/>
    <w:rsid w:val="3AE83416"/>
    <w:rsid w:val="3AE84F21"/>
    <w:rsid w:val="3B1E1277"/>
    <w:rsid w:val="3B241639"/>
    <w:rsid w:val="3B2958E9"/>
    <w:rsid w:val="3B340B10"/>
    <w:rsid w:val="3B4342F2"/>
    <w:rsid w:val="3B705907"/>
    <w:rsid w:val="3BAC54A0"/>
    <w:rsid w:val="3BB450D2"/>
    <w:rsid w:val="3BB51625"/>
    <w:rsid w:val="3BB83A55"/>
    <w:rsid w:val="3BC540CC"/>
    <w:rsid w:val="3C016259"/>
    <w:rsid w:val="3C05702B"/>
    <w:rsid w:val="3C70334F"/>
    <w:rsid w:val="3C797D13"/>
    <w:rsid w:val="3C806348"/>
    <w:rsid w:val="3CD2615F"/>
    <w:rsid w:val="3D11205B"/>
    <w:rsid w:val="3D3D55B3"/>
    <w:rsid w:val="3D50398D"/>
    <w:rsid w:val="3D5619DA"/>
    <w:rsid w:val="3D5B6EE5"/>
    <w:rsid w:val="3D604ED5"/>
    <w:rsid w:val="3DE25DB3"/>
    <w:rsid w:val="3DE6670E"/>
    <w:rsid w:val="3E1B54E8"/>
    <w:rsid w:val="3E7A463F"/>
    <w:rsid w:val="3E925B12"/>
    <w:rsid w:val="3EFB0FE0"/>
    <w:rsid w:val="3F0128C7"/>
    <w:rsid w:val="3F12480E"/>
    <w:rsid w:val="3F50722A"/>
    <w:rsid w:val="3F645D9C"/>
    <w:rsid w:val="3F8E1AF4"/>
    <w:rsid w:val="3FA35235"/>
    <w:rsid w:val="3FA54560"/>
    <w:rsid w:val="3FB10B8E"/>
    <w:rsid w:val="3FCB2B69"/>
    <w:rsid w:val="3FFD4490"/>
    <w:rsid w:val="40327926"/>
    <w:rsid w:val="405A34BE"/>
    <w:rsid w:val="40650AB8"/>
    <w:rsid w:val="406D2075"/>
    <w:rsid w:val="40A73A11"/>
    <w:rsid w:val="40D50F73"/>
    <w:rsid w:val="40E765BD"/>
    <w:rsid w:val="410D6E30"/>
    <w:rsid w:val="41412351"/>
    <w:rsid w:val="414E6719"/>
    <w:rsid w:val="416D4D8C"/>
    <w:rsid w:val="417A46D4"/>
    <w:rsid w:val="41904DF6"/>
    <w:rsid w:val="419345E1"/>
    <w:rsid w:val="41940CDA"/>
    <w:rsid w:val="41AA2509"/>
    <w:rsid w:val="41B16EBC"/>
    <w:rsid w:val="41B6599D"/>
    <w:rsid w:val="41CF0BCF"/>
    <w:rsid w:val="41D427C4"/>
    <w:rsid w:val="41E04248"/>
    <w:rsid w:val="42042CCA"/>
    <w:rsid w:val="42812A86"/>
    <w:rsid w:val="42B56350"/>
    <w:rsid w:val="43104C13"/>
    <w:rsid w:val="432C5504"/>
    <w:rsid w:val="43365770"/>
    <w:rsid w:val="43482809"/>
    <w:rsid w:val="43727FC7"/>
    <w:rsid w:val="43794BD1"/>
    <w:rsid w:val="439006C3"/>
    <w:rsid w:val="43934B60"/>
    <w:rsid w:val="44C409AF"/>
    <w:rsid w:val="44CA5142"/>
    <w:rsid w:val="44CB6471"/>
    <w:rsid w:val="44D70159"/>
    <w:rsid w:val="4504471C"/>
    <w:rsid w:val="45263750"/>
    <w:rsid w:val="4567448A"/>
    <w:rsid w:val="45791C6C"/>
    <w:rsid w:val="45974ABD"/>
    <w:rsid w:val="45D05F89"/>
    <w:rsid w:val="460008CE"/>
    <w:rsid w:val="46107943"/>
    <w:rsid w:val="46212412"/>
    <w:rsid w:val="462430DE"/>
    <w:rsid w:val="46A301C2"/>
    <w:rsid w:val="46A54CB5"/>
    <w:rsid w:val="46A83331"/>
    <w:rsid w:val="46B215A3"/>
    <w:rsid w:val="46C36755"/>
    <w:rsid w:val="46D027AA"/>
    <w:rsid w:val="47092F16"/>
    <w:rsid w:val="47396823"/>
    <w:rsid w:val="476D5EBB"/>
    <w:rsid w:val="47711558"/>
    <w:rsid w:val="47723768"/>
    <w:rsid w:val="47D9353C"/>
    <w:rsid w:val="47E54F55"/>
    <w:rsid w:val="47FA3E97"/>
    <w:rsid w:val="47FE50D5"/>
    <w:rsid w:val="483337FA"/>
    <w:rsid w:val="48961FF5"/>
    <w:rsid w:val="48A25DD0"/>
    <w:rsid w:val="48DD2962"/>
    <w:rsid w:val="48EF5006"/>
    <w:rsid w:val="48FC21D7"/>
    <w:rsid w:val="49490BB1"/>
    <w:rsid w:val="494B36B3"/>
    <w:rsid w:val="49692915"/>
    <w:rsid w:val="499769D5"/>
    <w:rsid w:val="4A3847B0"/>
    <w:rsid w:val="4A3F772C"/>
    <w:rsid w:val="4A484FA8"/>
    <w:rsid w:val="4A492B02"/>
    <w:rsid w:val="4A584C12"/>
    <w:rsid w:val="4A6603DD"/>
    <w:rsid w:val="4A6E7668"/>
    <w:rsid w:val="4ABC719B"/>
    <w:rsid w:val="4B040E73"/>
    <w:rsid w:val="4B054806"/>
    <w:rsid w:val="4B323DAD"/>
    <w:rsid w:val="4B6C0448"/>
    <w:rsid w:val="4B911AF6"/>
    <w:rsid w:val="4B992729"/>
    <w:rsid w:val="4BB66672"/>
    <w:rsid w:val="4BF14E5C"/>
    <w:rsid w:val="4BF6455A"/>
    <w:rsid w:val="4C2C72E7"/>
    <w:rsid w:val="4C6A36A5"/>
    <w:rsid w:val="4CB2203E"/>
    <w:rsid w:val="4D221A5E"/>
    <w:rsid w:val="4D2F1ADF"/>
    <w:rsid w:val="4D397E04"/>
    <w:rsid w:val="4D5B3007"/>
    <w:rsid w:val="4D6604E2"/>
    <w:rsid w:val="4D83282D"/>
    <w:rsid w:val="4D850510"/>
    <w:rsid w:val="4DB91463"/>
    <w:rsid w:val="4DD26CD8"/>
    <w:rsid w:val="4DE10F8F"/>
    <w:rsid w:val="4DE16570"/>
    <w:rsid w:val="4E36503C"/>
    <w:rsid w:val="4E663FE6"/>
    <w:rsid w:val="4E7D306C"/>
    <w:rsid w:val="4EBC4081"/>
    <w:rsid w:val="4ED02D42"/>
    <w:rsid w:val="4EE36998"/>
    <w:rsid w:val="4F377CE8"/>
    <w:rsid w:val="4F42117D"/>
    <w:rsid w:val="4F48599F"/>
    <w:rsid w:val="4F4F2BC1"/>
    <w:rsid w:val="4F604C84"/>
    <w:rsid w:val="4F7A0880"/>
    <w:rsid w:val="4F96706C"/>
    <w:rsid w:val="4FA060F5"/>
    <w:rsid w:val="4FB936B3"/>
    <w:rsid w:val="4FC915F8"/>
    <w:rsid w:val="50421741"/>
    <w:rsid w:val="504E4277"/>
    <w:rsid w:val="506F3038"/>
    <w:rsid w:val="50952DF2"/>
    <w:rsid w:val="50EA74A0"/>
    <w:rsid w:val="50F07683"/>
    <w:rsid w:val="512B3E20"/>
    <w:rsid w:val="51316332"/>
    <w:rsid w:val="516C70A1"/>
    <w:rsid w:val="52372CD0"/>
    <w:rsid w:val="523875ED"/>
    <w:rsid w:val="526826F8"/>
    <w:rsid w:val="5302247A"/>
    <w:rsid w:val="53315390"/>
    <w:rsid w:val="533A5121"/>
    <w:rsid w:val="53425BB0"/>
    <w:rsid w:val="534B0C47"/>
    <w:rsid w:val="5360776D"/>
    <w:rsid w:val="537261AA"/>
    <w:rsid w:val="53A019B1"/>
    <w:rsid w:val="53E411F3"/>
    <w:rsid w:val="544D59FD"/>
    <w:rsid w:val="546A6B00"/>
    <w:rsid w:val="54B10B69"/>
    <w:rsid w:val="54D357A1"/>
    <w:rsid w:val="54FE79E1"/>
    <w:rsid w:val="550479F9"/>
    <w:rsid w:val="554054D5"/>
    <w:rsid w:val="5565242B"/>
    <w:rsid w:val="558B0EF2"/>
    <w:rsid w:val="56195DC5"/>
    <w:rsid w:val="56205935"/>
    <w:rsid w:val="5671771B"/>
    <w:rsid w:val="569F5204"/>
    <w:rsid w:val="56A40F80"/>
    <w:rsid w:val="56E30A23"/>
    <w:rsid w:val="56F805D3"/>
    <w:rsid w:val="56F9482C"/>
    <w:rsid w:val="572F2122"/>
    <w:rsid w:val="5732282D"/>
    <w:rsid w:val="57513E3C"/>
    <w:rsid w:val="575E71D1"/>
    <w:rsid w:val="57656AAF"/>
    <w:rsid w:val="57780285"/>
    <w:rsid w:val="57895841"/>
    <w:rsid w:val="57CB7122"/>
    <w:rsid w:val="580206F4"/>
    <w:rsid w:val="580F49BF"/>
    <w:rsid w:val="581F69C6"/>
    <w:rsid w:val="58BB51AE"/>
    <w:rsid w:val="58C67724"/>
    <w:rsid w:val="58F74373"/>
    <w:rsid w:val="592B2BC8"/>
    <w:rsid w:val="5932697F"/>
    <w:rsid w:val="5945570A"/>
    <w:rsid w:val="597746E4"/>
    <w:rsid w:val="59843CBF"/>
    <w:rsid w:val="598A1022"/>
    <w:rsid w:val="59B44E5D"/>
    <w:rsid w:val="59B93578"/>
    <w:rsid w:val="59C60319"/>
    <w:rsid w:val="5A0A7C1A"/>
    <w:rsid w:val="5A4A27BF"/>
    <w:rsid w:val="5A4A7AA9"/>
    <w:rsid w:val="5A636A25"/>
    <w:rsid w:val="5A795462"/>
    <w:rsid w:val="5B314B9C"/>
    <w:rsid w:val="5B4F5494"/>
    <w:rsid w:val="5B5267B9"/>
    <w:rsid w:val="5B5F034D"/>
    <w:rsid w:val="5B64318C"/>
    <w:rsid w:val="5B7A2A80"/>
    <w:rsid w:val="5B9E5C51"/>
    <w:rsid w:val="5BC05588"/>
    <w:rsid w:val="5BD42E24"/>
    <w:rsid w:val="5BE21F66"/>
    <w:rsid w:val="5BFB37A6"/>
    <w:rsid w:val="5C240C7B"/>
    <w:rsid w:val="5C8D51F6"/>
    <w:rsid w:val="5CA223D5"/>
    <w:rsid w:val="5CA52AF5"/>
    <w:rsid w:val="5CB963A2"/>
    <w:rsid w:val="5CC41C0D"/>
    <w:rsid w:val="5CCE1A7B"/>
    <w:rsid w:val="5CE42D12"/>
    <w:rsid w:val="5D2006AE"/>
    <w:rsid w:val="5D5D7AEC"/>
    <w:rsid w:val="5DB07B64"/>
    <w:rsid w:val="5DDE2965"/>
    <w:rsid w:val="5DE55D4F"/>
    <w:rsid w:val="5DF24F34"/>
    <w:rsid w:val="5E0B635A"/>
    <w:rsid w:val="5E1F1A63"/>
    <w:rsid w:val="5E294CEB"/>
    <w:rsid w:val="5EA11D24"/>
    <w:rsid w:val="5ED02091"/>
    <w:rsid w:val="5ED02A30"/>
    <w:rsid w:val="5EF54261"/>
    <w:rsid w:val="5EF66F80"/>
    <w:rsid w:val="5EFD3DCB"/>
    <w:rsid w:val="5F323D85"/>
    <w:rsid w:val="5F5919A6"/>
    <w:rsid w:val="5F82440E"/>
    <w:rsid w:val="5F895057"/>
    <w:rsid w:val="5F940A3E"/>
    <w:rsid w:val="5FE408D5"/>
    <w:rsid w:val="60210B27"/>
    <w:rsid w:val="603C0211"/>
    <w:rsid w:val="605C661D"/>
    <w:rsid w:val="60864E22"/>
    <w:rsid w:val="60992FAF"/>
    <w:rsid w:val="610B3038"/>
    <w:rsid w:val="6157463B"/>
    <w:rsid w:val="617E4947"/>
    <w:rsid w:val="618C3680"/>
    <w:rsid w:val="619157A0"/>
    <w:rsid w:val="61AD7FAC"/>
    <w:rsid w:val="61B9082C"/>
    <w:rsid w:val="620039AE"/>
    <w:rsid w:val="62012E19"/>
    <w:rsid w:val="620C4DF8"/>
    <w:rsid w:val="62552691"/>
    <w:rsid w:val="62FE72D8"/>
    <w:rsid w:val="632259C4"/>
    <w:rsid w:val="63263D0D"/>
    <w:rsid w:val="634D2D5C"/>
    <w:rsid w:val="63632B45"/>
    <w:rsid w:val="6373260F"/>
    <w:rsid w:val="63856413"/>
    <w:rsid w:val="63AD54D7"/>
    <w:rsid w:val="63D201A3"/>
    <w:rsid w:val="63DF6D3D"/>
    <w:rsid w:val="64003D27"/>
    <w:rsid w:val="644763D7"/>
    <w:rsid w:val="64505A3F"/>
    <w:rsid w:val="646E04C5"/>
    <w:rsid w:val="649548FB"/>
    <w:rsid w:val="64AD388C"/>
    <w:rsid w:val="64B60830"/>
    <w:rsid w:val="64D81CF5"/>
    <w:rsid w:val="65420BAE"/>
    <w:rsid w:val="65520C3E"/>
    <w:rsid w:val="65863C10"/>
    <w:rsid w:val="65A45561"/>
    <w:rsid w:val="66324275"/>
    <w:rsid w:val="66582833"/>
    <w:rsid w:val="667557A4"/>
    <w:rsid w:val="669F5C50"/>
    <w:rsid w:val="66C66E69"/>
    <w:rsid w:val="66E9246C"/>
    <w:rsid w:val="673D3AD3"/>
    <w:rsid w:val="676E3F85"/>
    <w:rsid w:val="67AA791C"/>
    <w:rsid w:val="681253D0"/>
    <w:rsid w:val="68464F3B"/>
    <w:rsid w:val="684A64D9"/>
    <w:rsid w:val="685A6D95"/>
    <w:rsid w:val="687F12D4"/>
    <w:rsid w:val="689B44E8"/>
    <w:rsid w:val="68A32F09"/>
    <w:rsid w:val="68B94F59"/>
    <w:rsid w:val="68C0194D"/>
    <w:rsid w:val="68C65D6E"/>
    <w:rsid w:val="68DA5ADD"/>
    <w:rsid w:val="68DC1A4F"/>
    <w:rsid w:val="68F2680E"/>
    <w:rsid w:val="69107A14"/>
    <w:rsid w:val="6924250F"/>
    <w:rsid w:val="69271690"/>
    <w:rsid w:val="694C0E55"/>
    <w:rsid w:val="6959691A"/>
    <w:rsid w:val="696033A5"/>
    <w:rsid w:val="696533DD"/>
    <w:rsid w:val="696973C3"/>
    <w:rsid w:val="696F027E"/>
    <w:rsid w:val="698E4AF7"/>
    <w:rsid w:val="69A16F46"/>
    <w:rsid w:val="69C55233"/>
    <w:rsid w:val="69EB0D20"/>
    <w:rsid w:val="6A624D6D"/>
    <w:rsid w:val="6A8C667E"/>
    <w:rsid w:val="6A932B4B"/>
    <w:rsid w:val="6AE866A8"/>
    <w:rsid w:val="6AF619D0"/>
    <w:rsid w:val="6B0146A4"/>
    <w:rsid w:val="6B051D29"/>
    <w:rsid w:val="6B087F5F"/>
    <w:rsid w:val="6B676306"/>
    <w:rsid w:val="6B693321"/>
    <w:rsid w:val="6B6D718E"/>
    <w:rsid w:val="6B711B7A"/>
    <w:rsid w:val="6BC8556D"/>
    <w:rsid w:val="6BD43669"/>
    <w:rsid w:val="6BE8725E"/>
    <w:rsid w:val="6C152647"/>
    <w:rsid w:val="6C156D2D"/>
    <w:rsid w:val="6C187585"/>
    <w:rsid w:val="6C255D33"/>
    <w:rsid w:val="6C2F6077"/>
    <w:rsid w:val="6C3345BF"/>
    <w:rsid w:val="6C6608D6"/>
    <w:rsid w:val="6C7D5484"/>
    <w:rsid w:val="6C9852E5"/>
    <w:rsid w:val="6C992705"/>
    <w:rsid w:val="6CD858AC"/>
    <w:rsid w:val="6CFA7D7F"/>
    <w:rsid w:val="6D66521C"/>
    <w:rsid w:val="6D6F33E7"/>
    <w:rsid w:val="6D8D7A35"/>
    <w:rsid w:val="6DBD1347"/>
    <w:rsid w:val="6E2A7591"/>
    <w:rsid w:val="6E4F523E"/>
    <w:rsid w:val="6E5729A2"/>
    <w:rsid w:val="6E583A1F"/>
    <w:rsid w:val="6E810905"/>
    <w:rsid w:val="6EAA495D"/>
    <w:rsid w:val="6EAB742B"/>
    <w:rsid w:val="6EAE1C55"/>
    <w:rsid w:val="6EB0558D"/>
    <w:rsid w:val="6EC6113E"/>
    <w:rsid w:val="6EC97476"/>
    <w:rsid w:val="6EFF1080"/>
    <w:rsid w:val="6F170E2C"/>
    <w:rsid w:val="6F1C670B"/>
    <w:rsid w:val="6F213326"/>
    <w:rsid w:val="6F3A22A7"/>
    <w:rsid w:val="6F45287E"/>
    <w:rsid w:val="6F68200A"/>
    <w:rsid w:val="6FFA1CBF"/>
    <w:rsid w:val="70531535"/>
    <w:rsid w:val="70BF0D6E"/>
    <w:rsid w:val="70E01DD1"/>
    <w:rsid w:val="71146B51"/>
    <w:rsid w:val="71147230"/>
    <w:rsid w:val="71161C74"/>
    <w:rsid w:val="71597165"/>
    <w:rsid w:val="717256AD"/>
    <w:rsid w:val="718544F1"/>
    <w:rsid w:val="71976406"/>
    <w:rsid w:val="71DE2066"/>
    <w:rsid w:val="71E95523"/>
    <w:rsid w:val="720A152D"/>
    <w:rsid w:val="721F1D01"/>
    <w:rsid w:val="7222649A"/>
    <w:rsid w:val="72D11304"/>
    <w:rsid w:val="730C4186"/>
    <w:rsid w:val="7341102A"/>
    <w:rsid w:val="736B0572"/>
    <w:rsid w:val="737974C3"/>
    <w:rsid w:val="73A17E6A"/>
    <w:rsid w:val="73E16D57"/>
    <w:rsid w:val="73EE0AE6"/>
    <w:rsid w:val="7453624B"/>
    <w:rsid w:val="746049BA"/>
    <w:rsid w:val="74874E5A"/>
    <w:rsid w:val="74A227F4"/>
    <w:rsid w:val="74A2568B"/>
    <w:rsid w:val="74BA5E3A"/>
    <w:rsid w:val="74C47F76"/>
    <w:rsid w:val="74FD32BB"/>
    <w:rsid w:val="753D4FBB"/>
    <w:rsid w:val="754E3DD7"/>
    <w:rsid w:val="7573132B"/>
    <w:rsid w:val="75790588"/>
    <w:rsid w:val="757934F0"/>
    <w:rsid w:val="75C80FD3"/>
    <w:rsid w:val="75DC3A8B"/>
    <w:rsid w:val="76021882"/>
    <w:rsid w:val="76160679"/>
    <w:rsid w:val="761715C6"/>
    <w:rsid w:val="766574D1"/>
    <w:rsid w:val="767C3DB4"/>
    <w:rsid w:val="768F2CE9"/>
    <w:rsid w:val="76B907FF"/>
    <w:rsid w:val="76DE1045"/>
    <w:rsid w:val="771463D1"/>
    <w:rsid w:val="774A39DA"/>
    <w:rsid w:val="776C147A"/>
    <w:rsid w:val="77777CEB"/>
    <w:rsid w:val="779B02BA"/>
    <w:rsid w:val="77CA4292"/>
    <w:rsid w:val="77D64484"/>
    <w:rsid w:val="77E922B4"/>
    <w:rsid w:val="78081990"/>
    <w:rsid w:val="781A58E7"/>
    <w:rsid w:val="7833145C"/>
    <w:rsid w:val="786258A4"/>
    <w:rsid w:val="787A60AB"/>
    <w:rsid w:val="78B202F8"/>
    <w:rsid w:val="78CE1FD7"/>
    <w:rsid w:val="78D0463B"/>
    <w:rsid w:val="78D22D18"/>
    <w:rsid w:val="78F10523"/>
    <w:rsid w:val="7906595E"/>
    <w:rsid w:val="7917686A"/>
    <w:rsid w:val="794B7201"/>
    <w:rsid w:val="795B0ABE"/>
    <w:rsid w:val="798B1783"/>
    <w:rsid w:val="79B2108A"/>
    <w:rsid w:val="7A417E6A"/>
    <w:rsid w:val="7A92024C"/>
    <w:rsid w:val="7A98347A"/>
    <w:rsid w:val="7AA222D1"/>
    <w:rsid w:val="7B0B5BD1"/>
    <w:rsid w:val="7B930658"/>
    <w:rsid w:val="7BA53398"/>
    <w:rsid w:val="7BC71689"/>
    <w:rsid w:val="7BE20360"/>
    <w:rsid w:val="7C1A1A2B"/>
    <w:rsid w:val="7C435CA9"/>
    <w:rsid w:val="7C78688F"/>
    <w:rsid w:val="7C867510"/>
    <w:rsid w:val="7CF01DBB"/>
    <w:rsid w:val="7CF510C4"/>
    <w:rsid w:val="7D21376C"/>
    <w:rsid w:val="7D2C7C8E"/>
    <w:rsid w:val="7D622331"/>
    <w:rsid w:val="7D8B198E"/>
    <w:rsid w:val="7D934831"/>
    <w:rsid w:val="7DD75B87"/>
    <w:rsid w:val="7DFC7E2B"/>
    <w:rsid w:val="7E122B46"/>
    <w:rsid w:val="7E262275"/>
    <w:rsid w:val="7E2676D0"/>
    <w:rsid w:val="7E4F73AA"/>
    <w:rsid w:val="7E654A6D"/>
    <w:rsid w:val="7E74200D"/>
    <w:rsid w:val="7E7B6F9A"/>
    <w:rsid w:val="7EA22277"/>
    <w:rsid w:val="7EC63541"/>
    <w:rsid w:val="7EED4B13"/>
    <w:rsid w:val="7F8B1A78"/>
    <w:rsid w:val="7FA418D8"/>
    <w:rsid w:val="7FA92784"/>
    <w:rsid w:val="7FDD570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 w:cs="Times New Roman"/>
      <w:kern w:val="2"/>
      <w:sz w:val="21"/>
      <w:szCs w:val="24"/>
      <w:lang w:val="en-US" w:eastAsia="zh-CN" w:bidi="ar-SA"/>
    </w:rPr>
  </w:style>
  <w:style w:type="paragraph" w:styleId="2">
    <w:name w:val="heading 1"/>
    <w:basedOn w:val="1"/>
    <w:next w:val="1"/>
    <w:link w:val="20"/>
    <w:qFormat/>
    <w:uiPriority w:val="0"/>
    <w:pPr>
      <w:keepNext/>
      <w:keepLines/>
      <w:spacing w:before="120" w:after="120"/>
      <w:jc w:val="center"/>
      <w:outlineLvl w:val="0"/>
    </w:pPr>
    <w:rPr>
      <w:b/>
      <w:kern w:val="44"/>
      <w:sz w:val="44"/>
    </w:rPr>
  </w:style>
  <w:style w:type="paragraph" w:styleId="3">
    <w:name w:val="heading 2"/>
    <w:basedOn w:val="1"/>
    <w:next w:val="1"/>
    <w:qFormat/>
    <w:uiPriority w:val="0"/>
    <w:pPr>
      <w:keepNext/>
      <w:keepLines/>
      <w:spacing w:before="140" w:after="140" w:line="413" w:lineRule="auto"/>
      <w:jc w:val="center"/>
      <w:outlineLvl w:val="1"/>
    </w:pPr>
    <w:rPr>
      <w:rFonts w:ascii="Arial" w:hAnsi="Arial"/>
      <w:b/>
      <w:sz w:val="28"/>
    </w:rPr>
  </w:style>
  <w:style w:type="paragraph" w:styleId="4">
    <w:name w:val="heading 4"/>
    <w:basedOn w:val="1"/>
    <w:next w:val="1"/>
    <w:autoRedefine/>
    <w:qFormat/>
    <w:uiPriority w:val="0"/>
    <w:pPr>
      <w:keepNext/>
      <w:keepLines/>
      <w:outlineLvl w:val="3"/>
    </w:pPr>
    <w:rPr>
      <w:rFonts w:ascii="Arial" w:hAnsi="Arial" w:eastAsia="黑体"/>
      <w:bCs/>
      <w:kern w:val="0"/>
      <w:sz w:val="24"/>
      <w:szCs w:val="28"/>
    </w:rPr>
  </w:style>
  <w:style w:type="character" w:default="1" w:styleId="16">
    <w:name w:val="Default Paragraph Font"/>
    <w:unhideWhenUsed/>
    <w:qFormat/>
    <w:uiPriority w:val="1"/>
  </w:style>
  <w:style w:type="table" w:default="1" w:styleId="14">
    <w:name w:val="Normal Table"/>
    <w:autoRedefine/>
    <w:unhideWhenUsed/>
    <w:uiPriority w:val="99"/>
    <w:tblPr>
      <w:tblCellMar>
        <w:top w:w="0" w:type="dxa"/>
        <w:left w:w="108" w:type="dxa"/>
        <w:bottom w:w="0" w:type="dxa"/>
        <w:right w:w="108" w:type="dxa"/>
      </w:tblCellMar>
    </w:tblPr>
  </w:style>
  <w:style w:type="paragraph" w:styleId="5">
    <w:name w:val="Document Map"/>
    <w:basedOn w:val="1"/>
    <w:link w:val="21"/>
    <w:qFormat/>
    <w:uiPriority w:val="0"/>
    <w:rPr>
      <w:rFonts w:ascii="宋体" w:eastAsia="宋体"/>
      <w:sz w:val="18"/>
      <w:szCs w:val="18"/>
    </w:rPr>
  </w:style>
  <w:style w:type="paragraph" w:styleId="6">
    <w:name w:val="annotation text"/>
    <w:basedOn w:val="1"/>
    <w:link w:val="22"/>
    <w:unhideWhenUsed/>
    <w:qFormat/>
    <w:uiPriority w:val="99"/>
    <w:pPr>
      <w:jc w:val="left"/>
    </w:pPr>
  </w:style>
  <w:style w:type="paragraph" w:styleId="7">
    <w:name w:val="Plain Text"/>
    <w:basedOn w:val="1"/>
    <w:autoRedefine/>
    <w:qFormat/>
    <w:uiPriority w:val="99"/>
    <w:rPr>
      <w:rFonts w:ascii="宋体" w:hAnsi="Courier New" w:cs="Courier New"/>
      <w:szCs w:val="21"/>
    </w:rPr>
  </w:style>
  <w:style w:type="paragraph" w:styleId="8">
    <w:name w:val="Balloon Text"/>
    <w:basedOn w:val="1"/>
    <w:link w:val="23"/>
    <w:qFormat/>
    <w:uiPriority w:val="0"/>
    <w:rPr>
      <w:sz w:val="18"/>
      <w:szCs w:val="18"/>
    </w:rPr>
  </w:style>
  <w:style w:type="paragraph" w:styleId="9">
    <w:name w:val="footer"/>
    <w:basedOn w:val="1"/>
    <w:link w:val="24"/>
    <w:qFormat/>
    <w:uiPriority w:val="99"/>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autoRedefine/>
    <w:qFormat/>
    <w:uiPriority w:val="0"/>
  </w:style>
  <w:style w:type="paragraph" w:styleId="12">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13">
    <w:name w:val="annotation subject"/>
    <w:basedOn w:val="6"/>
    <w:next w:val="6"/>
    <w:link w:val="25"/>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autoRedefine/>
    <w:qFormat/>
    <w:uiPriority w:val="0"/>
    <w:rPr>
      <w:b/>
    </w:rPr>
  </w:style>
  <w:style w:type="character" w:styleId="18">
    <w:name w:val="Hyperlink"/>
    <w:autoRedefine/>
    <w:qFormat/>
    <w:uiPriority w:val="0"/>
    <w:rPr>
      <w:color w:val="0000FF"/>
      <w:u w:val="single"/>
    </w:rPr>
  </w:style>
  <w:style w:type="character" w:styleId="19">
    <w:name w:val="annotation reference"/>
    <w:unhideWhenUsed/>
    <w:qFormat/>
    <w:uiPriority w:val="99"/>
    <w:rPr>
      <w:sz w:val="21"/>
      <w:szCs w:val="21"/>
    </w:rPr>
  </w:style>
  <w:style w:type="character" w:customStyle="1" w:styleId="20">
    <w:name w:val="标题 1 字符"/>
    <w:link w:val="2"/>
    <w:qFormat/>
    <w:uiPriority w:val="0"/>
    <w:rPr>
      <w:rFonts w:ascii="Calibri" w:hAnsi="Calibri" w:eastAsia="仿宋" w:cs="Times New Roman"/>
      <w:b/>
      <w:kern w:val="44"/>
      <w:sz w:val="44"/>
      <w:szCs w:val="24"/>
    </w:rPr>
  </w:style>
  <w:style w:type="character" w:customStyle="1" w:styleId="21">
    <w:name w:val="文档结构图 字符"/>
    <w:link w:val="5"/>
    <w:autoRedefine/>
    <w:qFormat/>
    <w:uiPriority w:val="0"/>
    <w:rPr>
      <w:rFonts w:ascii="宋体" w:hAnsi="Calibri" w:cs="Times New Roman"/>
      <w:kern w:val="2"/>
      <w:sz w:val="18"/>
      <w:szCs w:val="18"/>
    </w:rPr>
  </w:style>
  <w:style w:type="character" w:customStyle="1" w:styleId="22">
    <w:name w:val="批注文字 字符"/>
    <w:link w:val="6"/>
    <w:qFormat/>
    <w:uiPriority w:val="99"/>
    <w:rPr>
      <w:rFonts w:ascii="Calibri" w:hAnsi="Calibri" w:eastAsia="仿宋" w:cs="Times New Roman"/>
      <w:kern w:val="2"/>
      <w:sz w:val="21"/>
      <w:szCs w:val="24"/>
    </w:rPr>
  </w:style>
  <w:style w:type="character" w:customStyle="1" w:styleId="23">
    <w:name w:val="批注框文本 字符"/>
    <w:link w:val="8"/>
    <w:qFormat/>
    <w:uiPriority w:val="0"/>
    <w:rPr>
      <w:rFonts w:ascii="Calibri" w:hAnsi="Calibri" w:eastAsia="仿宋" w:cs="Times New Roman"/>
      <w:kern w:val="2"/>
      <w:sz w:val="18"/>
      <w:szCs w:val="18"/>
    </w:rPr>
  </w:style>
  <w:style w:type="character" w:customStyle="1" w:styleId="24">
    <w:name w:val="页脚 字符"/>
    <w:link w:val="9"/>
    <w:autoRedefine/>
    <w:uiPriority w:val="99"/>
    <w:rPr>
      <w:rFonts w:eastAsia="仿宋"/>
      <w:kern w:val="2"/>
      <w:sz w:val="18"/>
      <w:szCs w:val="24"/>
    </w:rPr>
  </w:style>
  <w:style w:type="character" w:customStyle="1" w:styleId="25">
    <w:name w:val="批注主题 字符"/>
    <w:link w:val="13"/>
    <w:qFormat/>
    <w:uiPriority w:val="0"/>
    <w:rPr>
      <w:rFonts w:ascii="Calibri" w:hAnsi="Calibri" w:eastAsia="仿宋" w:cs="Times New Roman"/>
      <w:b/>
      <w:bCs/>
      <w:kern w:val="2"/>
      <w:sz w:val="21"/>
      <w:szCs w:val="24"/>
    </w:rPr>
  </w:style>
  <w:style w:type="paragraph" w:styleId="26">
    <w:name w:val="List Paragraph"/>
    <w:basedOn w:val="1"/>
    <w:autoRedefine/>
    <w:qFormat/>
    <w:uiPriority w:val="34"/>
    <w:pPr>
      <w:ind w:firstLine="420" w:firstLineChars="200"/>
    </w:pPr>
  </w:style>
  <w:style w:type="paragraph" w:customStyle="1" w:styleId="27">
    <w:name w:val="样式1"/>
    <w:basedOn w:val="1"/>
    <w:qFormat/>
    <w:uiPriority w:val="0"/>
    <w:pPr>
      <w:numPr>
        <w:ilvl w:val="0"/>
        <w:numId w:val="1"/>
      </w:numPr>
      <w:adjustRightInd w:val="0"/>
      <w:textAlignment w:val="baseline"/>
    </w:pPr>
    <w:rPr>
      <w:rFonts w:ascii="宋体" w:hAnsi="宋体"/>
      <w:kern w:val="0"/>
      <w:szCs w:val="21"/>
    </w:rPr>
  </w:style>
  <w:style w:type="paragraph" w:customStyle="1" w:styleId="28">
    <w:name w:val="样式H"/>
    <w:basedOn w:val="2"/>
    <w:next w:val="1"/>
    <w:autoRedefine/>
    <w:qFormat/>
    <w:uiPriority w:val="0"/>
    <w:pPr>
      <w:spacing w:before="100" w:line="500" w:lineRule="exact"/>
    </w:pPr>
  </w:style>
  <w:style w:type="paragraph" w:customStyle="1" w:styleId="2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0">
    <w:name w:val="WPSOffice手动目录 1"/>
    <w:qFormat/>
    <w:uiPriority w:val="0"/>
    <w:rPr>
      <w:rFonts w:ascii="Times New Roman" w:hAnsi="Times New Roman" w:eastAsia="宋体" w:cs="Times New Roman"/>
      <w:lang w:val="en-US" w:eastAsia="zh-CN" w:bidi="ar-SA"/>
    </w:rPr>
  </w:style>
  <w:style w:type="paragraph" w:customStyle="1" w:styleId="31">
    <w:name w:val="样式N"/>
    <w:basedOn w:val="28"/>
    <w:autoRedefine/>
    <w:qFormat/>
    <w:uiPriority w:val="0"/>
    <w:rPr>
      <w:sz w:val="30"/>
    </w:rPr>
  </w:style>
  <w:style w:type="paragraph" w:customStyle="1" w:styleId="32">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33">
    <w:name w:val="列出段落11"/>
    <w:basedOn w:val="1"/>
    <w:qFormat/>
    <w:uiPriority w:val="34"/>
    <w:pPr>
      <w:ind w:firstLine="420" w:firstLineChars="200"/>
    </w:pPr>
    <w:rPr>
      <w:rFonts w:ascii="Calibri" w:hAnsi="Calibri" w:eastAsia="宋体" w:cs="Times New Roman"/>
      <w:szCs w:val="22"/>
      <w:lang w:val="zh-CN"/>
    </w:rPr>
  </w:style>
  <w:style w:type="paragraph" w:customStyle="1" w:styleId="34">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60</Pages>
  <Words>30500</Words>
  <Characters>31777</Characters>
  <Lines>266</Lines>
  <Paragraphs>75</Paragraphs>
  <TotalTime>0</TotalTime>
  <ScaleCrop>false</ScaleCrop>
  <LinksUpToDate>false</LinksUpToDate>
  <CharactersWithSpaces>35041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2019-11-26T12:18:00Z</dcterms:created>
  <dc:creator>meimei</dc:creator>
  <cp:lastModifiedBy>Administrator</cp:lastModifiedBy>
  <cp:lastPrinted>2024-03-06T03:57:00Z</cp:lastPrinted>
  <dcterms:modified xsi:type="dcterms:W3CDTF">2024-03-06T09:50:47Z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998BE19AEB90449DAD1CAFAF01A44410_13</vt:lpwstr>
  </property>
</Properties>
</file>